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9364" w:type="dxa"/>
        <w:tblInd w:w="0" w:type="dxa"/>
        <w:tblLayout w:type="autofit"/>
        <w:tblCellMar>
          <w:top w:w="0" w:type="dxa"/>
          <w:left w:w="0" w:type="dxa"/>
          <w:bottom w:w="0" w:type="dxa"/>
          <w:right w:w="0" w:type="dxa"/>
        </w:tblCellMar>
      </w:tblPr>
      <w:tblGrid>
        <w:gridCol w:w="509"/>
        <w:gridCol w:w="8855"/>
      </w:tblGrid>
      <w:tr>
        <w:tblPrEx>
          <w:tblCellMar>
            <w:top w:w="0" w:type="dxa"/>
            <w:left w:w="0" w:type="dxa"/>
            <w:bottom w:w="0" w:type="dxa"/>
            <w:right w:w="0" w:type="dxa"/>
          </w:tblCellMar>
        </w:tblPrEx>
        <w:tc>
          <w:tcPr>
            <w:tcW w:w="509" w:type="dxa"/>
            <w:shd w:val="clear" w:color="auto" w:fill="auto"/>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shd w:val="clear" w:color="auto" w:fill="auto"/>
          </w:tcPr>
          <w:p>
            <w:pPr>
              <w:pStyle w:val="18"/>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hint="eastAsia" w:ascii="黑体" w:hAnsi="黑体" w:eastAsia="黑体"/>
                <w:sz w:val="21"/>
                <w:szCs w:val="21"/>
              </w:rPr>
              <w:t>27.180</w:t>
            </w:r>
          </w:p>
        </w:tc>
      </w:tr>
      <w:tr>
        <w:tblPrEx>
          <w:tblCellMar>
            <w:top w:w="0" w:type="dxa"/>
            <w:left w:w="0" w:type="dxa"/>
            <w:bottom w:w="0" w:type="dxa"/>
            <w:right w:w="0" w:type="dxa"/>
          </w:tblCellMar>
        </w:tblPrEx>
        <w:tc>
          <w:tcPr>
            <w:tcW w:w="509" w:type="dxa"/>
            <w:shd w:val="clear" w:color="auto" w:fill="auto"/>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shd w:val="clear" w:color="auto" w:fill="auto"/>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0"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F 11</w:t>
            </w:r>
            <w:r>
              <w:rPr>
                <w:rFonts w:ascii="黑体" w:hAnsi="黑体" w:eastAsia="黑体"/>
                <w:sz w:val="21"/>
                <w:szCs w:val="21"/>
              </w:rPr>
              <w:fldChar w:fldCharType="end"/>
            </w:r>
            <w:bookmarkEnd w:id="0"/>
          </w:p>
        </w:tc>
      </w:tr>
    </w:tbl>
    <w:p>
      <w:pPr>
        <w:rPr>
          <w:vanish/>
        </w:rPr>
      </w:pPr>
      <w:bookmarkStart w:id="1" w:name="_Hlk26473981"/>
    </w:p>
    <w:tbl>
      <w:tblPr>
        <w:tblStyle w:val="26"/>
        <w:tblpPr w:leftFromText="181" w:rightFromText="181" w:horzAnchor="margin" w:tblpX="3857" w:tblpY="56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shd w:val="clear" w:color="auto" w:fill="auto"/>
          </w:tcPr>
          <w:p>
            <w:pPr>
              <w:pStyle w:val="49"/>
              <w:framePr w:w="0" w:hRule="auto" w:wrap="auto" w:vAnchor="margin" w:hAnchor="text" w:xAlign="left" w:yAlign="inline"/>
              <w:ind w:firstLine="420"/>
              <w:rPr>
                <w:rFonts w:hint="default" w:eastAsia="宋体"/>
                <w:lang w:val="en-US" w:eastAsia="zh-CN"/>
              </w:rPr>
            </w:pPr>
            <w:r>
              <w:rPr>
                <w:rFonts w:hint="eastAsia"/>
              </w:rPr>
              <w:t>DB42</w:t>
            </w:r>
          </w:p>
        </w:tc>
      </w:tr>
    </w:tbl>
    <w:p>
      <w:pPr>
        <w:pStyle w:val="50"/>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湖北省地方标准</w:t>
      </w:r>
    </w:p>
    <w:bookmarkEnd w:id="1"/>
    <w:p>
      <w:pPr>
        <w:pStyle w:val="195"/>
        <w:rPr>
          <w:lang w:val="fr-FR"/>
        </w:rPr>
      </w:pPr>
      <w:r>
        <w:fldChar w:fldCharType="begin">
          <w:ffData>
            <w:name w:val="文字1"/>
            <w:enabled/>
            <w:calcOnExit w:val="0"/>
            <w:textInput>
              <w:default w:val="XX/T"/>
            </w:textInput>
          </w:ffData>
        </w:fldChar>
      </w:r>
      <w:bookmarkStart w:id="2" w:name="文字1"/>
      <w:r>
        <w:rPr>
          <w:lang w:val="fr-FR"/>
        </w:rPr>
        <w:instrText xml:space="preserve"> FORMTEXT </w:instrText>
      </w:r>
      <w:r>
        <w:fldChar w:fldCharType="separate"/>
      </w:r>
      <w:r>
        <w:fldChar w:fldCharType="end"/>
      </w:r>
      <w:bookmarkEnd w:id="2"/>
      <w:r>
        <w:rPr>
          <w:lang w:val="fr-FR"/>
        </w:rPr>
        <w:t xml:space="preserve"> </w:t>
      </w:r>
      <w:r>
        <w:fldChar w:fldCharType="begin">
          <w:ffData>
            <w:name w:val="NSTD_CODE_F"/>
            <w:enabled/>
            <w:calcOnExit w:val="0"/>
            <w:textInput>
              <w:default w:val="XXXXX"/>
            </w:textInput>
          </w:ffData>
        </w:fldChar>
      </w:r>
      <w:bookmarkStart w:id="3" w:name="NSTD_CODE_F"/>
      <w:r>
        <w:rPr>
          <w:lang w:val="fr-FR"/>
        </w:rPr>
        <w:instrText xml:space="preserve"> FORMTEXT </w:instrText>
      </w:r>
      <w:r>
        <w:fldChar w:fldCharType="separate"/>
      </w:r>
      <w:r>
        <w:fldChar w:fldCharType="end"/>
      </w:r>
      <w:bookmarkEnd w:id="3"/>
      <w:r>
        <w:fldChar w:fldCharType="begin">
          <w:ffData>
            <w:name w:val="NSTD_CODE_B"/>
            <w:enabled/>
            <w:calcOnExit w:val="0"/>
            <w:textInput>
              <w:default w:val="XXXX"/>
            </w:textInput>
          </w:ffData>
        </w:fldChar>
      </w:r>
      <w:bookmarkStart w:id="4" w:name="NSTD_CODE_B"/>
      <w:r>
        <w:rPr>
          <w:lang w:val="fr-FR"/>
        </w:rPr>
        <w:instrText xml:space="preserve"> FORMTEXT </w:instrText>
      </w:r>
      <w:r>
        <w:fldChar w:fldCharType="separate"/>
      </w:r>
      <w:r>
        <w:fldChar w:fldCharType="end"/>
      </w:r>
      <w:bookmarkEnd w:id="4"/>
    </w:p>
    <w:p>
      <w:pPr>
        <w:pStyle w:val="196"/>
        <w:rPr>
          <w:rFonts w:hAnsi="黑体"/>
          <w:lang w:val="fr-FR"/>
        </w:rPr>
      </w:pPr>
      <w:r>
        <w:rPr>
          <w:rFonts w:hAnsi="黑体"/>
        </w:rPr>
        <w:fldChar w:fldCharType="begin">
          <w:ffData>
            <w:name w:val="OSTD_CODE"/>
            <w:enabled/>
            <w:calcOnExit w:val="0"/>
            <w:textInput/>
          </w:ffData>
        </w:fldChar>
      </w:r>
      <w:bookmarkStart w:id="5" w:name="OSTD_CODE"/>
      <w:r>
        <w:rPr>
          <w:rFonts w:hAnsi="黑体"/>
          <w:lang w:val="fr-FR"/>
        </w:rPr>
        <w:instrText xml:space="preserve"> FORMTEXT</w:instrText>
      </w:r>
      <w:r>
        <w:rPr>
          <w:rFonts w:hAnsi="黑体"/>
        </w:rPr>
        <w:fldChar w:fldCharType="separate"/>
      </w:r>
      <w:r>
        <w:rPr>
          <w:rFonts w:hAnsi="黑体"/>
        </w:rPr>
        <w:fldChar w:fldCharType="end"/>
      </w:r>
      <w:bookmarkEnd w:id="5"/>
    </w:p>
    <w:p>
      <w:pPr>
        <w:spacing w:line="240" w:lineRule="auto"/>
        <w:rPr>
          <w:rFonts w:ascii="黑体" w:hAnsi="黑体" w:eastAsia="黑体"/>
          <w:kern w:val="0"/>
          <w:sz w:val="10"/>
          <w:szCs w:val="10"/>
          <w:lang w:val="fr-FR"/>
        </w:rPr>
      </w:pPr>
      <w: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2700020</wp:posOffset>
                </wp:positionV>
                <wp:extent cx="6120130" cy="0"/>
                <wp:effectExtent l="0" t="0" r="1397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pt;height:0pt;width:481.9pt;mso-position-horizontal-relative:page;mso-position-vertical-relative:page;z-index:251659264;mso-width-relative:page;mso-height-relative:page;" filled="f" stroked="t" coordsize="21600,21600" o:allowoverlap="f" o:gfxdata="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f4jzNgAAAAM&#10;AQAADwAAAAAAAAABACAAAAAiAAAAZHJzL2Rvd25yZXYueG1sUEsBAhQAFAAAAAgAh07iQJlfVKDj&#10;AQAAqgMAAA4AAAAAAAAAAQAgAAAAJwEAAGRycy9lMm9Eb2MueG1sUEsFBgAAAAAGAAYAWQEAAHwF&#10;A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lang w:val="fr-FR"/>
        </w:rPr>
      </w:pPr>
    </w:p>
    <w:p>
      <w:pPr>
        <w:pStyle w:val="197"/>
        <w:framePr w:h="6974" w:hRule="exact" w:wrap="around" w:x="1419" w:anchorLock="1"/>
        <w:rPr>
          <w:rFonts w:hint="default" w:eastAsia="黑体"/>
          <w:lang w:val="en-US" w:eastAsia="zh-CN"/>
        </w:rPr>
      </w:pPr>
      <w:r>
        <w:rPr>
          <w:rFonts w:hint="eastAsia"/>
        </w:rPr>
        <w:t>风力发电场站运行业绩指标</w:t>
      </w:r>
      <w:r>
        <w:rPr>
          <w:rFonts w:hint="eastAsia"/>
          <w:lang w:val="en-US" w:eastAsia="zh-CN"/>
        </w:rPr>
        <w:t>评价导则</w:t>
      </w:r>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6" w:name="ESTD_NAME"/>
      <w:r>
        <w:rPr>
          <w:rFonts w:eastAsia="黑体"/>
          <w:szCs w:val="28"/>
        </w:rPr>
        <w:instrText xml:space="preserve"> FORMTEXT</w:instrText>
      </w:r>
      <w:r>
        <w:rPr>
          <w:rFonts w:eastAsia="黑体"/>
          <w:szCs w:val="28"/>
        </w:rPr>
        <w:fldChar w:fldCharType="separate"/>
      </w:r>
      <w:bookmarkEnd w:id="6"/>
      <w:r>
        <w:rPr>
          <w:rFonts w:hint="eastAsia" w:eastAsia="黑体"/>
          <w:szCs w:val="28"/>
        </w:rPr>
        <w:t>Guidelines for evaluating operational performance indicators of wind power plants</w:t>
      </w:r>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bookmarkStart w:id="62" w:name="_GoBack"/>
      <w:bookmarkEnd w:id="62"/>
      <w:r>
        <w:rPr>
          <w:rFonts w:eastAsia="黑体"/>
          <w:szCs w:val="28"/>
        </w:rPr>
        <w:fldChar w:fldCharType="begin">
          <w:ffData>
            <w:name w:val="IN_STD_CODE"/>
            <w:enabled/>
            <w:calcOnExit w:val="0"/>
            <w:textInput>
              <w:default w:val="(点击此处添加与国际标准一致性程度的标识)"/>
            </w:textInput>
          </w:ffData>
        </w:fldChar>
      </w:r>
      <w:bookmarkStart w:id="7" w:name="IN_STD_CODE"/>
      <w:r>
        <w:rPr>
          <w:rFonts w:eastAsia="黑体"/>
          <w:szCs w:val="28"/>
        </w:rPr>
        <w:instrText xml:space="preserve"> FORMTEXT</w:instrText>
      </w:r>
      <w:r>
        <w:rPr>
          <w:rFonts w:eastAsia="黑体"/>
          <w:szCs w:val="28"/>
        </w:rPr>
        <w:fldChar w:fldCharType="separate"/>
      </w:r>
      <w:r>
        <w:rPr>
          <w:rFonts w:eastAsia="黑体"/>
          <w:szCs w:val="28"/>
        </w:rPr>
        <w:fldChar w:fldCharType="end"/>
      </w:r>
      <w:bookmarkEnd w:id="7"/>
    </w:p>
    <w:p>
      <w:pPr>
        <w:pStyle w:val="125"/>
        <w:framePr w:w="9639" w:h="6974" w:hRule="exact" w:wrap="around" w:vAnchor="page" w:hAnchor="page" w:x="1419" w:y="6408" w:anchorLock="1"/>
        <w:spacing w:before="440" w:after="160"/>
        <w:textAlignment w:val="bottom"/>
        <w:rPr>
          <w:sz w:val="24"/>
          <w:szCs w:val="28"/>
        </w:rPr>
      </w:pPr>
      <w:bookmarkStart w:id="8" w:name="下拉1"/>
      <w:r>
        <w:rPr>
          <w:sz w:val="24"/>
          <w:szCs w:val="28"/>
        </w:rPr>
        <w:fldChar w:fldCharType="end"/>
      </w:r>
      <w:bookmarkEnd w:id="8"/>
    </w:p>
    <w:p>
      <w:pPr>
        <w:pStyle w:val="125"/>
        <w:framePr w:w="9639" w:h="6974" w:hRule="exact" w:wrap="around" w:vAnchor="page" w:hAnchor="page" w:x="1419" w:y="6408" w:anchorLock="1"/>
        <w:spacing w:before="180" w:line="240" w:lineRule="atLeast"/>
        <w:textAlignment w:val="bottom"/>
        <w:rPr>
          <w:sz w:val="21"/>
          <w:szCs w:val="28"/>
        </w:rPr>
      </w:pPr>
    </w:p>
    <w:p>
      <w:pPr>
        <w:pStyle w:val="125"/>
        <w:framePr w:w="9639" w:h="6974" w:hRule="exact" w:wrap="around" w:vAnchor="page" w:hAnchor="page" w:x="1419" w:y="6408" w:anchorLock="1"/>
        <w:spacing w:before="720" w:beforeLines="300" w:after="72" w:afterLines="30" w:line="240" w:lineRule="auto"/>
        <w:textAlignment w:val="bottom"/>
        <w:rPr>
          <w:b/>
          <w:sz w:val="21"/>
          <w:szCs w:val="28"/>
        </w:rPr>
      </w:pPr>
      <w:bookmarkStart w:id="9" w:name="下拉2"/>
      <w:bookmarkEnd w:id="9"/>
    </w:p>
    <w:p>
      <w:pPr>
        <w:pStyle w:val="193"/>
        <w:framePr w:wrap="around" w:y="14176"/>
      </w:pPr>
      <w:r>
        <w:rPr>
          <w:rFonts w:hint="default" w:ascii="Arial" w:hAnsi="Arial" w:eastAsia="黑体" w:cs="Arial"/>
          <w:color w:val="000000"/>
          <w:sz w:val="21"/>
          <w:szCs w:val="21"/>
          <w:shd w:val="clear" w:color="auto" w:fill="FFFFFF"/>
        </w:rPr>
        <w:t>××××</w:t>
      </w:r>
      <w:r>
        <w:t xml:space="preserve"> </w:t>
      </w:r>
      <w:r>
        <w:rPr>
          <w:rFonts w:ascii="黑体"/>
        </w:rPr>
        <w:t>-</w:t>
      </w:r>
      <w:r>
        <w:t xml:space="preserve"> </w:t>
      </w:r>
      <w:r>
        <w:rPr>
          <w:rFonts w:hint="default" w:ascii="Arial" w:hAnsi="Arial" w:eastAsia="黑体" w:cs="Arial"/>
          <w:color w:val="000000"/>
          <w:sz w:val="21"/>
          <w:szCs w:val="21"/>
          <w:shd w:val="clear" w:color="auto" w:fill="FFFFFF"/>
        </w:rPr>
        <w:t>××</w:t>
      </w:r>
      <w:r>
        <w:t xml:space="preserve"> </w:t>
      </w:r>
      <w:r>
        <w:rPr>
          <w:rFonts w:ascii="黑体"/>
        </w:rPr>
        <w:t>-</w:t>
      </w:r>
      <w:r>
        <w:t xml:space="preserve"> </w:t>
      </w:r>
      <w:r>
        <w:rPr>
          <w:rFonts w:hint="default" w:ascii="Arial" w:hAnsi="Arial" w:eastAsia="黑体" w:cs="Arial"/>
          <w:color w:val="000000"/>
          <w:sz w:val="21"/>
          <w:szCs w:val="21"/>
          <w:shd w:val="clear" w:color="auto" w:fill="FFFFFF"/>
        </w:rPr>
        <w:t>××</w:t>
      </w:r>
      <w:r>
        <w:rPr>
          <w:rFonts w:hint="eastAsia"/>
        </w:rPr>
        <w:t>发布</w:t>
      </w:r>
    </w:p>
    <w:p>
      <w:pPr>
        <w:pStyle w:val="194"/>
        <w:framePr w:wrap="around" w:y="14176"/>
      </w:pPr>
      <w:r>
        <w:rPr>
          <w:rFonts w:hint="default" w:ascii="Arial" w:hAnsi="Arial" w:eastAsia="黑体" w:cs="Arial"/>
          <w:color w:val="000000"/>
          <w:sz w:val="21"/>
          <w:szCs w:val="21"/>
          <w:shd w:val="clear" w:color="auto" w:fill="FFFFFF"/>
        </w:rPr>
        <w:t>××××</w:t>
      </w:r>
      <w:r>
        <w:rPr>
          <w:rFonts w:ascii="黑体"/>
        </w:rPr>
        <w:t>-</w:t>
      </w:r>
      <w:r>
        <w:rPr>
          <w:rFonts w:hint="default" w:ascii="Arial" w:hAnsi="Arial" w:eastAsia="黑体" w:cs="Arial"/>
          <w:color w:val="000000"/>
          <w:sz w:val="21"/>
          <w:szCs w:val="21"/>
          <w:shd w:val="clear" w:color="auto" w:fill="FFFFFF"/>
        </w:rPr>
        <w:t>××</w:t>
      </w:r>
      <w:r>
        <w:rPr>
          <w:rFonts w:ascii="黑体"/>
        </w:rPr>
        <w:t>-</w:t>
      </w:r>
      <w:r>
        <w:rPr>
          <w:rFonts w:hint="default" w:ascii="Arial" w:hAnsi="Arial" w:eastAsia="黑体" w:cs="Arial"/>
          <w:color w:val="000000"/>
          <w:sz w:val="21"/>
          <w:szCs w:val="21"/>
          <w:shd w:val="clear" w:color="auto" w:fill="FFFFFF"/>
        </w:rPr>
        <w:t>××</w:t>
      </w:r>
      <w:r>
        <w:rPr>
          <w:rFonts w:hint="eastAsia"/>
        </w:rPr>
        <w:t>实施</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021" w:left="1134" w:header="1418" w:footer="1134" w:gutter="284"/>
          <w:pgBorders>
            <w:top w:val="none" w:sz="0" w:space="0"/>
            <w:left w:val="none" w:sz="0" w:space="0"/>
            <w:bottom w:val="none" w:sz="0" w:space="0"/>
            <w:right w:val="none" w:sz="0" w:space="0"/>
          </w:pgBorders>
          <w:pgNumType w:fmt="decimal"/>
          <w:cols w:space="425" w:num="1"/>
          <w:titlePg/>
          <w:docGrid w:linePitch="312" w:charSpace="0"/>
        </w:sectPr>
      </w:pPr>
      <w: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9252585</wp:posOffset>
                </wp:positionV>
                <wp:extent cx="6120130" cy="0"/>
                <wp:effectExtent l="0" t="0" r="1397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55pt;height:0pt;width:481.9pt;mso-position-horizontal-relative:page;mso-position-vertical-relative:page;z-index:251660288;mso-width-relative:page;mso-height-relative:page;" filled="f" stroked="t" coordsize="21600,21600" o:gfxdata="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mp0YvXAAAADgEA&#10;AA8AAAAAAAAAAQAgAAAAIgAAAGRycy9kb3ducmV2LnhtbFBLAQIUABQAAAAIAIdO4kBN1FcE4gEA&#10;AKoDAAAOAAAAAAAAAAEAIAAAACYBAABkcnMvZTJvRG9jLnhtbFBLBQYAAAAABgAGAFkBAAB6BQAA&#10;AAA=&#10;">
                <v:fill on="f" focussize="0,0"/>
                <v:stroke color="#000000" joinstyle="round"/>
                <v:imagedata o:title=""/>
                <o:lock v:ext="edit" aspectratio="f"/>
                <w10:anchorlock/>
              </v:line>
            </w:pict>
          </mc:Fallback>
        </mc:AlternateContent>
      </w:r>
    </w:p>
    <w:p>
      <w:pPr>
        <w:pStyle w:val="91"/>
        <w:spacing w:after="360"/>
      </w:pPr>
      <w:bookmarkStart w:id="10" w:name="BookMark1"/>
      <w:r>
        <w:rPr>
          <w:rFonts w:hint="eastAsia"/>
          <w:spacing w:val="320"/>
        </w:rPr>
        <w:t>目</w:t>
      </w:r>
      <w:r>
        <w:rPr>
          <w:rFonts w:hint="eastAsia"/>
        </w:rPr>
        <w:t>录</w:t>
      </w:r>
    </w:p>
    <w:p>
      <w:pPr>
        <w:pStyle w:val="19"/>
        <w:tabs>
          <w:tab w:val="right" w:leader="dot" w:pos="9354"/>
        </w:tabs>
      </w:pPr>
      <w:r>
        <w:fldChar w:fldCharType="begin"/>
      </w:r>
      <w:r>
        <w:instrText xml:space="preserve"> TOC \o "1-1" \h \t "标准文件_一级条标题,2,标准文件_附录一级条标题,2,"</w:instrText>
      </w:r>
      <w:r>
        <w:fldChar w:fldCharType="separate"/>
      </w:r>
      <w:r>
        <w:fldChar w:fldCharType="begin"/>
      </w:r>
      <w:r>
        <w:instrText xml:space="preserve"> HYPERLINK \l _Toc27848 </w:instrText>
      </w:r>
      <w:r>
        <w:fldChar w:fldCharType="separate"/>
      </w:r>
      <w:r>
        <w:rPr>
          <w:rFonts w:hint="eastAsia"/>
          <w:lang w:val="en-US" w:eastAsia="zh-CN"/>
        </w:rPr>
        <w:t>前言</w:t>
      </w:r>
      <w:r>
        <w:tab/>
      </w:r>
      <w:r>
        <w:fldChar w:fldCharType="begin"/>
      </w:r>
      <w:r>
        <w:instrText xml:space="preserve"> PAGEREF _Toc27848 \h </w:instrText>
      </w:r>
      <w:r>
        <w:fldChar w:fldCharType="separate"/>
      </w:r>
      <w:r>
        <w:t>0</w:t>
      </w:r>
      <w:r>
        <w:fldChar w:fldCharType="end"/>
      </w:r>
      <w:r>
        <w:fldChar w:fldCharType="end"/>
      </w:r>
    </w:p>
    <w:p>
      <w:pPr>
        <w:pStyle w:val="19"/>
        <w:tabs>
          <w:tab w:val="right" w:leader="dot" w:pos="9354"/>
        </w:tabs>
      </w:pPr>
      <w:r>
        <w:fldChar w:fldCharType="begin"/>
      </w:r>
      <w:r>
        <w:instrText xml:space="preserve"> HYPERLINK \l _Toc5452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_Toc5452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_Toc18140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_Toc18140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_Toc12422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_Toc12422 \h </w:instrText>
      </w:r>
      <w:r>
        <w:fldChar w:fldCharType="separate"/>
      </w:r>
      <w:r>
        <w:t>1</w:t>
      </w:r>
      <w:r>
        <w:fldChar w:fldCharType="end"/>
      </w:r>
      <w:r>
        <w:fldChar w:fldCharType="end"/>
      </w:r>
    </w:p>
    <w:p>
      <w:pPr>
        <w:pStyle w:val="19"/>
        <w:tabs>
          <w:tab w:val="right" w:leader="dot" w:pos="9354"/>
        </w:tabs>
      </w:pPr>
      <w:r>
        <w:fldChar w:fldCharType="begin"/>
      </w:r>
      <w:r>
        <w:instrText xml:space="preserve"> HYPERLINK \l _Toc14694 </w:instrText>
      </w:r>
      <w:r>
        <w:fldChar w:fldCharType="separate"/>
      </w:r>
      <w:r>
        <w:rPr>
          <w:rFonts w:hint="eastAsia" w:ascii="黑体" w:eastAsia="黑体"/>
          <w:i w:val="0"/>
        </w:rPr>
        <w:t xml:space="preserve">4 </w:t>
      </w:r>
      <w:r>
        <w:rPr>
          <w:rFonts w:hint="eastAsia"/>
        </w:rPr>
        <w:t>指标体系</w:t>
      </w:r>
      <w:r>
        <w:tab/>
      </w:r>
      <w:r>
        <w:fldChar w:fldCharType="begin"/>
      </w:r>
      <w:r>
        <w:instrText xml:space="preserve"> PAGEREF _Toc14694 \h </w:instrText>
      </w:r>
      <w:r>
        <w:fldChar w:fldCharType="separate"/>
      </w:r>
      <w:r>
        <w:t>2</w:t>
      </w:r>
      <w:r>
        <w:fldChar w:fldCharType="end"/>
      </w:r>
      <w:r>
        <w:fldChar w:fldCharType="end"/>
      </w:r>
    </w:p>
    <w:p>
      <w:pPr>
        <w:pStyle w:val="24"/>
        <w:tabs>
          <w:tab w:val="right" w:leader="dot" w:pos="9354"/>
          <w:tab w:val="clear" w:pos="9344"/>
        </w:tabs>
      </w:pPr>
      <w:r>
        <w:fldChar w:fldCharType="begin"/>
      </w:r>
      <w:r>
        <w:instrText xml:space="preserve"> HYPERLINK \l _Toc19038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4.1 </w:t>
      </w:r>
      <w:r>
        <w:rPr>
          <w:rFonts w:hint="eastAsia"/>
          <w:lang w:val="en-US" w:eastAsia="zh-CN"/>
        </w:rPr>
        <w:t>指标分类</w:t>
      </w:r>
      <w:r>
        <w:tab/>
      </w:r>
      <w:r>
        <w:fldChar w:fldCharType="begin"/>
      </w:r>
      <w:r>
        <w:instrText xml:space="preserve"> PAGEREF _Toc19038 \h </w:instrText>
      </w:r>
      <w:r>
        <w:fldChar w:fldCharType="separate"/>
      </w:r>
      <w:r>
        <w:t>2</w:t>
      </w:r>
      <w:r>
        <w:fldChar w:fldCharType="end"/>
      </w:r>
      <w:r>
        <w:fldChar w:fldCharType="end"/>
      </w:r>
    </w:p>
    <w:p>
      <w:pPr>
        <w:pStyle w:val="24"/>
        <w:tabs>
          <w:tab w:val="right" w:leader="dot" w:pos="9354"/>
          <w:tab w:val="clear" w:pos="9344"/>
        </w:tabs>
      </w:pPr>
      <w:r>
        <w:fldChar w:fldCharType="begin"/>
      </w:r>
      <w:r>
        <w:instrText xml:space="preserve"> HYPERLINK \l _Toc23841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rPr>
        <w:t xml:space="preserve">4.2 </w:t>
      </w:r>
      <w:r>
        <w:rPr>
          <w:rFonts w:hint="eastAsia"/>
          <w:lang w:val="en-US" w:eastAsia="zh-CN"/>
        </w:rPr>
        <w:t>单项指标</w:t>
      </w:r>
      <w:r>
        <w:tab/>
      </w:r>
      <w:r>
        <w:fldChar w:fldCharType="begin"/>
      </w:r>
      <w:r>
        <w:instrText xml:space="preserve"> PAGEREF _Toc23841 \h </w:instrText>
      </w:r>
      <w:r>
        <w:fldChar w:fldCharType="separate"/>
      </w:r>
      <w:r>
        <w:t>2</w:t>
      </w:r>
      <w:r>
        <w:fldChar w:fldCharType="end"/>
      </w:r>
      <w:r>
        <w:fldChar w:fldCharType="end"/>
      </w:r>
    </w:p>
    <w:p>
      <w:pPr>
        <w:pStyle w:val="19"/>
        <w:tabs>
          <w:tab w:val="right" w:leader="dot" w:pos="9354"/>
        </w:tabs>
      </w:pPr>
      <w:r>
        <w:fldChar w:fldCharType="begin"/>
      </w:r>
      <w:r>
        <w:instrText xml:space="preserve"> HYPERLINK \l _Toc14986 </w:instrText>
      </w:r>
      <w:r>
        <w:fldChar w:fldCharType="separate"/>
      </w:r>
      <w:r>
        <w:rPr>
          <w:rFonts w:hint="eastAsia" w:ascii="黑体" w:eastAsia="黑体"/>
          <w:i w:val="0"/>
        </w:rPr>
        <w:t xml:space="preserve">5 </w:t>
      </w:r>
      <w:r>
        <w:rPr>
          <w:rFonts w:hint="eastAsia"/>
          <w:lang w:val="en-US" w:eastAsia="zh-CN"/>
        </w:rPr>
        <w:t>指标评价</w:t>
      </w:r>
      <w:r>
        <w:tab/>
      </w:r>
      <w:r>
        <w:fldChar w:fldCharType="begin"/>
      </w:r>
      <w:r>
        <w:instrText xml:space="preserve"> PAGEREF _Toc14986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_Toc27943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5.1 </w:t>
      </w:r>
      <w:r>
        <w:rPr>
          <w:rFonts w:hint="eastAsia"/>
          <w:lang w:val="en-US" w:eastAsia="zh-CN"/>
        </w:rPr>
        <w:t>基本要求</w:t>
      </w:r>
      <w:r>
        <w:tab/>
      </w:r>
      <w:r>
        <w:fldChar w:fldCharType="begin"/>
      </w:r>
      <w:r>
        <w:instrText xml:space="preserve"> PAGEREF _Toc27943 \h </w:instrText>
      </w:r>
      <w:r>
        <w:fldChar w:fldCharType="separate"/>
      </w:r>
      <w:r>
        <w:t>5</w:t>
      </w:r>
      <w:r>
        <w:fldChar w:fldCharType="end"/>
      </w:r>
      <w:r>
        <w:fldChar w:fldCharType="end"/>
      </w:r>
    </w:p>
    <w:p>
      <w:pPr>
        <w:pStyle w:val="24"/>
        <w:tabs>
          <w:tab w:val="right" w:leader="dot" w:pos="9354"/>
          <w:tab w:val="clear" w:pos="9344"/>
        </w:tabs>
      </w:pPr>
      <w:r>
        <w:fldChar w:fldCharType="begin"/>
      </w:r>
      <w:r>
        <w:instrText xml:space="preserve"> HYPERLINK \l _Toc4340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rPr>
        <w:t xml:space="preserve">5.2 </w:t>
      </w:r>
      <w:r>
        <w:rPr>
          <w:rFonts w:hint="eastAsia"/>
          <w:lang w:val="en-US" w:eastAsia="zh-CN"/>
        </w:rPr>
        <w:t>评价方法</w:t>
      </w:r>
      <w:r>
        <w:tab/>
      </w:r>
      <w:r>
        <w:fldChar w:fldCharType="begin"/>
      </w:r>
      <w:r>
        <w:instrText xml:space="preserve"> PAGEREF _Toc4340 \h </w:instrText>
      </w:r>
      <w:r>
        <w:fldChar w:fldCharType="separate"/>
      </w:r>
      <w:r>
        <w:t>6</w:t>
      </w:r>
      <w:r>
        <w:fldChar w:fldCharType="end"/>
      </w:r>
      <w:r>
        <w:fldChar w:fldCharType="end"/>
      </w:r>
    </w:p>
    <w:p>
      <w:pPr>
        <w:pStyle w:val="19"/>
        <w:tabs>
          <w:tab w:val="right" w:leader="dot" w:pos="9354"/>
        </w:tabs>
      </w:pPr>
      <w:r>
        <w:rPr>
          <w:rFonts w:hint="eastAsia"/>
        </w:rPr>
        <w:fldChar w:fldCharType="begin"/>
      </w:r>
      <w:r>
        <w:rPr>
          <w:rFonts w:hint="eastAsia"/>
        </w:rPr>
        <w:instrText xml:space="preserve"> HYPERLINK \l _Toc19168 </w:instrText>
      </w:r>
      <w:r>
        <w:rPr>
          <w:rFonts w:hint="eastAsia"/>
        </w:rPr>
        <w:fldChar w:fldCharType="separate"/>
      </w:r>
      <w:r>
        <w:rPr>
          <w:rFonts w:hint="eastAsia"/>
        </w:rPr>
        <w:t>附录A</w:t>
      </w:r>
      <w:r>
        <w:rPr>
          <w:rFonts w:hint="eastAsia"/>
        </w:rPr>
        <w:fldChar w:fldCharType="end"/>
      </w:r>
      <w:r>
        <w:rPr>
          <w:rFonts w:hint="eastAsia"/>
          <w:lang w:val="en-US" w:eastAsia="zh-CN"/>
        </w:rPr>
        <w:t xml:space="preserve"> </w:t>
      </w:r>
      <w:r>
        <w:rPr>
          <w:rFonts w:hint="eastAsia"/>
        </w:rPr>
        <w:fldChar w:fldCharType="begin"/>
      </w:r>
      <w:r>
        <w:rPr>
          <w:rFonts w:hint="eastAsia"/>
        </w:rPr>
        <w:instrText xml:space="preserve"> HYPERLINK \l _Toc20210 </w:instrText>
      </w:r>
      <w:r>
        <w:rPr>
          <w:rFonts w:hint="eastAsia"/>
        </w:rPr>
        <w:fldChar w:fldCharType="separate"/>
      </w:r>
      <w:r>
        <w:rPr>
          <w:rFonts w:hint="eastAsia"/>
        </w:rPr>
        <w:t>（资料性）</w:t>
      </w:r>
      <w:r>
        <w:rPr>
          <w:rFonts w:hint="eastAsia"/>
        </w:rPr>
        <w:fldChar w:fldCharType="end"/>
      </w:r>
      <w:r>
        <w:fldChar w:fldCharType="begin"/>
      </w:r>
      <w:r>
        <w:instrText xml:space="preserve"> HYPERLINK \l _Toc20073 </w:instrText>
      </w:r>
      <w:r>
        <w:fldChar w:fldCharType="separate"/>
      </w:r>
      <w:r>
        <w:rPr>
          <w:rFonts w:hint="eastAsia"/>
        </w:rPr>
        <w:t>风电场运行业绩综合指标评价汇总表</w:t>
      </w:r>
      <w:r>
        <w:tab/>
      </w:r>
      <w:r>
        <w:fldChar w:fldCharType="begin"/>
      </w:r>
      <w:r>
        <w:instrText xml:space="preserve"> PAGEREF _Toc20073 \h </w:instrText>
      </w:r>
      <w:r>
        <w:fldChar w:fldCharType="separate"/>
      </w:r>
      <w:r>
        <w:t>9</w:t>
      </w:r>
      <w:r>
        <w:fldChar w:fldCharType="end"/>
      </w:r>
      <w:r>
        <w:fldChar w:fldCharType="end"/>
      </w:r>
    </w:p>
    <w:p>
      <w:pPr>
        <w:pStyle w:val="19"/>
        <w:tabs>
          <w:tab w:val="right" w:leader="dot" w:pos="9354"/>
        </w:tabs>
      </w:pPr>
      <w:r>
        <w:rPr>
          <w:rFonts w:hint="eastAsia"/>
        </w:rPr>
        <w:fldChar w:fldCharType="begin"/>
      </w:r>
      <w:r>
        <w:rPr>
          <w:rFonts w:hint="eastAsia"/>
        </w:rPr>
        <w:instrText xml:space="preserve"> HYPERLINK \l _Toc11117 </w:instrText>
      </w:r>
      <w:r>
        <w:rPr>
          <w:rFonts w:hint="eastAsia"/>
        </w:rPr>
        <w:fldChar w:fldCharType="separate"/>
      </w:r>
      <w:r>
        <w:rPr>
          <w:rFonts w:hint="eastAsia"/>
        </w:rPr>
        <w:t>附录B</w:t>
      </w:r>
      <w:r>
        <w:rPr>
          <w:rFonts w:hint="eastAsia"/>
        </w:rPr>
        <w:fldChar w:fldCharType="end"/>
      </w:r>
      <w:r>
        <w:rPr>
          <w:rFonts w:hint="eastAsia"/>
          <w:lang w:val="en-US" w:eastAsia="zh-CN"/>
        </w:rPr>
        <w:t xml:space="preserve"> </w:t>
      </w:r>
      <w:r>
        <w:fldChar w:fldCharType="begin"/>
      </w:r>
      <w:r>
        <w:instrText xml:space="preserve"> HYPERLINK \l _Toc18133 </w:instrText>
      </w:r>
      <w:r>
        <w:fldChar w:fldCharType="separate"/>
      </w:r>
      <w:r>
        <w:rPr>
          <w:rFonts w:hint="eastAsia"/>
        </w:rPr>
        <w:t>（规范性）</w:t>
      </w:r>
      <w:r>
        <w:fldChar w:fldCharType="end"/>
      </w:r>
      <w:r>
        <w:fldChar w:fldCharType="begin"/>
      </w:r>
      <w:r>
        <w:instrText xml:space="preserve"> HYPERLINK \l _Toc20276 </w:instrText>
      </w:r>
      <w:r>
        <w:fldChar w:fldCharType="separate"/>
      </w:r>
      <w:r>
        <w:rPr>
          <w:rFonts w:hint="eastAsia"/>
        </w:rPr>
        <w:t>风电场运行业绩指标评价报告</w:t>
      </w:r>
      <w:r>
        <w:tab/>
      </w:r>
      <w:r>
        <w:fldChar w:fldCharType="begin"/>
      </w:r>
      <w:r>
        <w:instrText xml:space="preserve"> PAGEREF _Toc20276 \h </w:instrText>
      </w:r>
      <w:r>
        <w:fldChar w:fldCharType="separate"/>
      </w:r>
      <w:r>
        <w:t>10</w:t>
      </w:r>
      <w:r>
        <w:fldChar w:fldCharType="end"/>
      </w:r>
      <w:r>
        <w:fldChar w:fldCharType="end"/>
      </w:r>
    </w:p>
    <w:p>
      <w:pPr>
        <w:pStyle w:val="91"/>
        <w:spacing w:after="360"/>
        <w:sectPr>
          <w:headerReference r:id="rId11" w:type="first"/>
          <w:footerReference r:id="rId14" w:type="first"/>
          <w:headerReference r:id="rId9" w:type="default"/>
          <w:footerReference r:id="rId12" w:type="default"/>
          <w:headerReference r:id="rId10" w:type="even"/>
          <w:footerReference r:id="rId13" w:type="even"/>
          <w:pgSz w:w="11906" w:h="16838"/>
          <w:pgMar w:top="1928" w:right="1134" w:bottom="1134" w:left="1134" w:header="1418" w:footer="1134" w:gutter="284"/>
          <w:pgBorders>
            <w:top w:val="none" w:sz="0" w:space="0"/>
            <w:left w:val="none" w:sz="0" w:space="0"/>
            <w:bottom w:val="none" w:sz="0" w:space="0"/>
            <w:right w:val="none" w:sz="0" w:space="0"/>
          </w:pgBorders>
          <w:pgNumType w:fmt="decimal" w:start="1"/>
          <w:cols w:space="425" w:num="1"/>
          <w:formProt w:val="0"/>
          <w:titlePg/>
          <w:docGrid w:linePitch="312" w:charSpace="0"/>
        </w:sectPr>
      </w:pPr>
      <w:r>
        <w:fldChar w:fldCharType="end"/>
      </w:r>
    </w:p>
    <w:p>
      <w:pPr>
        <w:pStyle w:val="89"/>
        <w:spacing w:after="468"/>
      </w:pPr>
      <w:bookmarkStart w:id="11" w:name="_Toc27848"/>
      <w:bookmarkStart w:id="12" w:name="_Toc106022939"/>
      <w:bookmarkStart w:id="13" w:name="BookMark2"/>
      <w:r>
        <w:rPr>
          <w:spacing w:val="320"/>
        </w:rPr>
        <w:t>前</w:t>
      </w:r>
      <w:r>
        <w:t>言</w:t>
      </w:r>
      <w:bookmarkEnd w:id="11"/>
      <w:bookmarkEnd w:id="12"/>
    </w:p>
    <w:p>
      <w:pPr>
        <w:pStyle w:val="56"/>
        <w:ind w:firstLine="420"/>
      </w:pPr>
      <w:r>
        <w:rPr>
          <w:rFonts w:hint="eastAsia"/>
        </w:rPr>
        <w:t>本文件按照GB/T 1.1—2020《标准化工作导则 第1部分：标准化文件的结构和起草规则》的规定起草。</w:t>
      </w:r>
    </w:p>
    <w:p>
      <w:pPr>
        <w:pStyle w:val="56"/>
        <w:ind w:firstLine="420"/>
      </w:pPr>
      <w:r>
        <w:rPr>
          <w:rFonts w:hint="eastAsia"/>
        </w:rPr>
        <w:t>本文件由中广核新能源湖北有限公司提出。</w:t>
      </w:r>
    </w:p>
    <w:p>
      <w:pPr>
        <w:ind w:firstLine="420"/>
      </w:pPr>
      <w:r>
        <w:rPr>
          <w:rFonts w:hint="eastAsia"/>
        </w:rPr>
        <w:t>本文件由</w:t>
      </w:r>
      <w:r>
        <w:rPr>
          <w:rFonts w:hint="eastAsia"/>
          <w:lang w:eastAsia="zh-CN"/>
        </w:rPr>
        <w:t>湖北省能源标准化技术委员会</w:t>
      </w:r>
      <w:r>
        <w:rPr>
          <w:rFonts w:hint="eastAsia"/>
        </w:rPr>
        <w:t>归口。</w:t>
      </w:r>
    </w:p>
    <w:p>
      <w:pPr>
        <w:ind w:firstLine="420"/>
      </w:pPr>
      <w:r>
        <w:rPr>
          <w:rFonts w:hint="eastAsia"/>
        </w:rPr>
        <w:t>本文件起草单位：</w:t>
      </w:r>
      <w:r>
        <w:rPr>
          <w:rFonts w:hint="eastAsia"/>
          <w:highlight w:val="none"/>
        </w:rPr>
        <w:t>中广核大悟阳平风力发电有限公司</w:t>
      </w:r>
      <w:r>
        <w:rPr>
          <w:rFonts w:hint="eastAsia"/>
          <w:highlight w:val="none"/>
          <w:lang w:eastAsia="zh-CN"/>
        </w:rPr>
        <w:t>、</w:t>
      </w:r>
      <w:r>
        <w:rPr>
          <w:rFonts w:hint="eastAsia"/>
          <w:highlight w:val="none"/>
        </w:rPr>
        <w:t>中广核新能源湖北有限公司</w:t>
      </w:r>
      <w:r>
        <w:rPr>
          <w:rFonts w:hint="eastAsia"/>
          <w:lang w:eastAsia="zh-CN"/>
        </w:rPr>
        <w:t>、</w:t>
      </w:r>
      <w:r>
        <w:rPr>
          <w:rFonts w:hint="eastAsia"/>
        </w:rPr>
        <w:t>中广核湖北大悟风力发电有限公司</w:t>
      </w:r>
      <w:r>
        <w:rPr>
          <w:rFonts w:hint="eastAsia"/>
          <w:lang w:eastAsia="zh-CN"/>
        </w:rPr>
        <w:t>、湖北省产品质量监督检验研究院</w:t>
      </w:r>
      <w:r>
        <w:rPr>
          <w:rFonts w:hint="eastAsia"/>
        </w:rPr>
        <w:t>。</w:t>
      </w:r>
    </w:p>
    <w:p>
      <w:pPr>
        <w:ind w:firstLine="420"/>
      </w:pPr>
      <w:r>
        <w:rPr>
          <w:rFonts w:hint="eastAsia"/>
        </w:rPr>
        <w:t>本文件主要起草人：</w:t>
      </w:r>
      <w:r>
        <w:rPr>
          <w:rFonts w:hint="eastAsia"/>
          <w:lang w:val="en-US" w:eastAsia="zh-CN"/>
        </w:rPr>
        <w:t>×××、×××、×××、×××、×××、×××、×××、×××</w:t>
      </w:r>
      <w:r>
        <w:rPr>
          <w:rFonts w:hint="eastAsia"/>
        </w:rPr>
        <w:t>。</w:t>
      </w:r>
    </w:p>
    <w:p>
      <w:pPr>
        <w:pStyle w:val="56"/>
        <w:ind w:firstLine="420"/>
      </w:pPr>
    </w:p>
    <w:p>
      <w:pPr>
        <w:pStyle w:val="56"/>
        <w:ind w:firstLine="420"/>
        <w:sectPr>
          <w:footerReference r:id="rId15" w:type="default"/>
          <w:footerReference r:id="rId16" w:type="even"/>
          <w:pgSz w:w="11906" w:h="16838"/>
          <w:pgMar w:top="1928" w:right="1134" w:bottom="1134" w:left="1134" w:header="1418" w:footer="1134" w:gutter="284"/>
          <w:pgBorders>
            <w:top w:val="none" w:sz="0" w:space="0"/>
            <w:left w:val="none" w:sz="0" w:space="0"/>
            <w:bottom w:val="none" w:sz="0" w:space="0"/>
            <w:right w:val="none" w:sz="0" w:space="0"/>
          </w:pgBorders>
          <w:pgNumType w:fmt="decimal" w:start="0"/>
          <w:cols w:space="425" w:num="1"/>
          <w:formProt w:val="0"/>
          <w:docGrid w:type="lines" w:linePitch="312" w:charSpace="0"/>
        </w:sectPr>
      </w:pPr>
    </w:p>
    <w:bookmarkEnd w:id="10"/>
    <w:bookmarkEnd w:id="13"/>
    <w:p>
      <w:pPr>
        <w:spacing w:line="20" w:lineRule="exact"/>
        <w:jc w:val="center"/>
        <w:rPr>
          <w:rFonts w:ascii="黑体" w:hAnsi="黑体" w:eastAsia="黑体"/>
          <w:sz w:val="32"/>
          <w:szCs w:val="32"/>
        </w:rPr>
      </w:pPr>
      <w:bookmarkStart w:id="14" w:name="_Toc106022940"/>
      <w:bookmarkStart w:id="15" w:name="BookMark4"/>
    </w:p>
    <w:p>
      <w:pPr>
        <w:spacing w:line="20" w:lineRule="exact"/>
        <w:jc w:val="center"/>
        <w:rPr>
          <w:rFonts w:ascii="黑体" w:hAnsi="黑体" w:eastAsia="黑体"/>
          <w:sz w:val="32"/>
          <w:szCs w:val="32"/>
        </w:rPr>
      </w:pPr>
    </w:p>
    <w:p>
      <w:pPr>
        <w:spacing w:line="20" w:lineRule="exact"/>
        <w:jc w:val="center"/>
        <w:rPr>
          <w:rFonts w:ascii="黑体" w:hAnsi="黑体" w:eastAsia="黑体"/>
          <w:sz w:val="32"/>
          <w:szCs w:val="32"/>
        </w:rPr>
      </w:pPr>
    </w:p>
    <w:p>
      <w:pPr>
        <w:spacing w:line="20" w:lineRule="exact"/>
        <w:jc w:val="center"/>
        <w:rPr>
          <w:rFonts w:ascii="黑体" w:hAnsi="黑体" w:eastAsia="黑体"/>
          <w:sz w:val="32"/>
          <w:szCs w:val="32"/>
        </w:rPr>
      </w:pPr>
    </w:p>
    <w:p>
      <w:pPr>
        <w:pStyle w:val="177"/>
        <w:rPr>
          <w:rFonts w:hint="eastAsia" w:eastAsia="黑体"/>
          <w:lang w:val="en-US" w:eastAsia="zh-CN"/>
        </w:rPr>
      </w:pPr>
      <w:r>
        <w:rPr>
          <w:rFonts w:hint="eastAsia"/>
        </w:rPr>
        <w:t>风力发电场站运行业绩指标</w:t>
      </w:r>
      <w:r>
        <w:rPr>
          <w:rFonts w:hint="eastAsia"/>
          <w:lang w:eastAsia="zh-CN"/>
        </w:rPr>
        <w:t>评价导则</w:t>
      </w:r>
    </w:p>
    <w:p>
      <w:pPr>
        <w:pStyle w:val="104"/>
        <w:spacing w:before="312" w:after="312"/>
      </w:pPr>
      <w:bookmarkStart w:id="16" w:name="_Toc5452"/>
      <w:bookmarkStart w:id="17" w:name="_Toc17233325"/>
      <w:bookmarkStart w:id="18" w:name="_Toc26718930"/>
      <w:bookmarkStart w:id="19" w:name="_Toc26986771"/>
      <w:bookmarkStart w:id="20" w:name="_Toc97195091"/>
      <w:bookmarkStart w:id="21" w:name="_Toc26986530"/>
      <w:bookmarkStart w:id="22" w:name="_Toc24884218"/>
      <w:bookmarkStart w:id="23" w:name="_Toc17233333"/>
      <w:r>
        <w:rPr>
          <w:rFonts w:hint="eastAsia"/>
        </w:rPr>
        <w:t>范围</w:t>
      </w:r>
      <w:bookmarkEnd w:id="14"/>
      <w:bookmarkEnd w:id="15"/>
      <w:bookmarkEnd w:id="16"/>
      <w:bookmarkEnd w:id="17"/>
      <w:bookmarkEnd w:id="18"/>
      <w:bookmarkEnd w:id="19"/>
      <w:bookmarkEnd w:id="20"/>
      <w:bookmarkEnd w:id="21"/>
      <w:bookmarkEnd w:id="22"/>
      <w:bookmarkEnd w:id="23"/>
    </w:p>
    <w:p>
      <w:pPr>
        <w:pStyle w:val="56"/>
        <w:ind w:firstLine="420"/>
        <w:rPr>
          <w:rFonts w:hint="eastAsia" w:eastAsia="宋体"/>
          <w:highlight w:val="none"/>
          <w:lang w:eastAsia="zh-CN"/>
        </w:rPr>
      </w:pPr>
      <w:r>
        <w:rPr>
          <w:rFonts w:hint="eastAsia"/>
          <w:highlight w:val="none"/>
        </w:rPr>
        <w:t>本文件规定了风力发电场站运行业绩指标</w:t>
      </w:r>
      <w:r>
        <w:rPr>
          <w:rFonts w:hint="eastAsia"/>
          <w:highlight w:val="none"/>
          <w:lang w:eastAsia="zh-CN"/>
        </w:rPr>
        <w:t>评价</w:t>
      </w:r>
      <w:r>
        <w:rPr>
          <w:rFonts w:hint="eastAsia"/>
          <w:highlight w:val="none"/>
        </w:rPr>
        <w:t>的</w:t>
      </w:r>
      <w:r>
        <w:rPr>
          <w:rFonts w:hint="eastAsia"/>
          <w:highlight w:val="none"/>
          <w:lang w:eastAsia="zh-CN"/>
        </w:rPr>
        <w:t>术语和定义、指标体系及指标评价。</w:t>
      </w:r>
    </w:p>
    <w:p>
      <w:pPr>
        <w:pStyle w:val="56"/>
        <w:ind w:firstLine="420"/>
        <w:rPr>
          <w:rFonts w:hint="eastAsia" w:eastAsia="宋体"/>
          <w:highlight w:val="yellow"/>
          <w:lang w:eastAsia="zh-CN"/>
        </w:rPr>
      </w:pPr>
      <w:bookmarkStart w:id="24" w:name="_Toc17233334"/>
      <w:bookmarkStart w:id="25" w:name="_Toc24884212"/>
      <w:bookmarkStart w:id="26" w:name="_Toc26648466"/>
      <w:bookmarkStart w:id="27" w:name="_Toc17233326"/>
      <w:bookmarkStart w:id="28" w:name="_Toc24884219"/>
      <w:r>
        <w:rPr>
          <w:rFonts w:hint="eastAsia"/>
          <w:highlight w:val="none"/>
        </w:rPr>
        <w:t>本文件适用于</w:t>
      </w:r>
      <w:r>
        <w:rPr>
          <w:rFonts w:hint="eastAsia"/>
          <w:highlight w:val="none"/>
          <w:lang w:val="en-US" w:eastAsia="zh-CN"/>
        </w:rPr>
        <w:t>风力发电建设运营单位对</w:t>
      </w:r>
      <w:r>
        <w:rPr>
          <w:rFonts w:hint="eastAsia"/>
          <w:highlight w:val="none"/>
        </w:rPr>
        <w:t>所辖在运风电场站运行业绩指标的评价管理工作。</w:t>
      </w:r>
    </w:p>
    <w:p>
      <w:pPr>
        <w:pStyle w:val="104"/>
        <w:spacing w:before="312" w:after="312"/>
      </w:pPr>
      <w:bookmarkStart w:id="29" w:name="_Toc26986531"/>
      <w:bookmarkStart w:id="30" w:name="_Toc26986772"/>
      <w:bookmarkStart w:id="31" w:name="_Toc26718931"/>
      <w:bookmarkStart w:id="32" w:name="_Toc97195092"/>
      <w:bookmarkStart w:id="33" w:name="_Toc18140"/>
      <w:r>
        <w:rPr>
          <w:rFonts w:hint="eastAsia"/>
        </w:rPr>
        <w:t>规范性引用文件</w:t>
      </w:r>
      <w:bookmarkEnd w:id="24"/>
      <w:bookmarkEnd w:id="25"/>
      <w:bookmarkEnd w:id="26"/>
      <w:bookmarkEnd w:id="27"/>
      <w:bookmarkEnd w:id="28"/>
      <w:bookmarkEnd w:id="29"/>
      <w:bookmarkEnd w:id="30"/>
      <w:bookmarkEnd w:id="31"/>
      <w:bookmarkEnd w:id="32"/>
      <w:bookmarkEnd w:id="33"/>
    </w:p>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56"/>
        <w:ind w:firstLine="420"/>
      </w:pPr>
      <w:r>
        <w:rPr>
          <w:rFonts w:hint="eastAsia"/>
        </w:rPr>
        <w:t>GB/T 2900.53</w:t>
      </w:r>
      <w:r>
        <w:rPr>
          <w:rFonts w:hint="eastAsia"/>
          <w:lang w:val="en-US" w:eastAsia="zh-CN"/>
        </w:rPr>
        <w:t xml:space="preserve"> </w:t>
      </w:r>
      <w:r>
        <w:rPr>
          <w:rFonts w:hint="eastAsia"/>
        </w:rPr>
        <w:t xml:space="preserve"> 电工术语 风力发电机</w:t>
      </w:r>
    </w:p>
    <w:p>
      <w:pPr>
        <w:pStyle w:val="56"/>
        <w:ind w:firstLine="420"/>
      </w:pPr>
      <w:r>
        <w:rPr>
          <w:rFonts w:hint="eastAsia"/>
        </w:rPr>
        <w:t>DL/T 793.1</w:t>
      </w:r>
      <w:r>
        <w:rPr>
          <w:rFonts w:hint="eastAsia"/>
          <w:lang w:val="en-US" w:eastAsia="zh-CN"/>
        </w:rPr>
        <w:t xml:space="preserve"> </w:t>
      </w:r>
      <w:r>
        <w:rPr>
          <w:rFonts w:hint="eastAsia"/>
        </w:rPr>
        <w:t xml:space="preserve"> 发电设备可靠性评价规程 第1部分:通则</w:t>
      </w:r>
    </w:p>
    <w:p>
      <w:pPr>
        <w:pStyle w:val="104"/>
        <w:spacing w:before="312" w:after="312"/>
      </w:pPr>
      <w:bookmarkStart w:id="34" w:name="_Toc106022943"/>
      <w:bookmarkStart w:id="35" w:name="_Toc97190720"/>
      <w:bookmarkStart w:id="36" w:name="_Toc12422"/>
      <w:r>
        <w:rPr>
          <w:rFonts w:hint="eastAsia"/>
          <w:szCs w:val="21"/>
        </w:rPr>
        <w:t>术语和定义</w:t>
      </w:r>
      <w:bookmarkEnd w:id="34"/>
      <w:bookmarkEnd w:id="35"/>
      <w:bookmarkEnd w:id="36"/>
    </w:p>
    <w:p>
      <w:pPr>
        <w:pStyle w:val="56"/>
        <w:ind w:firstLine="420"/>
      </w:pPr>
      <w:bookmarkStart w:id="37" w:name="_Toc26986532"/>
      <w:bookmarkEnd w:id="37"/>
      <w:r>
        <w:t>下列术语和定义适用于本文件。</w:t>
      </w:r>
    </w:p>
    <w:p>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安全事故事件次数 Times of safety accidents and incidents（TSAI）</w:t>
      </w:r>
    </w:p>
    <w:p>
      <w:pPr>
        <w:ind w:firstLine="420" w:firstLineChars="200"/>
        <w:rPr>
          <w:rFonts w:hAnsi="宋体"/>
          <w:szCs w:val="24"/>
        </w:rPr>
      </w:pPr>
      <w:bookmarkStart w:id="38" w:name="_Toc522609242"/>
      <w:bookmarkStart w:id="39" w:name="_Toc522616759"/>
      <w:bookmarkStart w:id="40" w:name="_Toc522702666"/>
      <w:r>
        <w:rPr>
          <w:rFonts w:hint="eastAsia" w:hAnsi="宋体"/>
          <w:szCs w:val="24"/>
        </w:rPr>
        <w:t>含业主和承包商在内的较大及以上人身事故、设备事故、电力安全事故及信息安全事故的总数。发生叶片（叶轮）掉落、风机倒塔、风机飞车、主变着火等重大安全事故为一票否决项，安全事故事件指标为0分。具体以公司安全质量与环保部年度绩效对事故事件定义为准。</w:t>
      </w:r>
      <w:bookmarkEnd w:id="38"/>
      <w:bookmarkEnd w:id="39"/>
      <w:bookmarkEnd w:id="40"/>
    </w:p>
    <w:p>
      <w:pPr>
        <w:pStyle w:val="223"/>
        <w:ind w:left="420" w:hanging="420" w:hangingChars="200"/>
        <w:rPr>
          <w:rFonts w:ascii="黑体" w:hAnsi="黑体" w:eastAsia="黑体"/>
        </w:rPr>
      </w:pPr>
    </w:p>
    <w:p>
      <w:pPr>
        <w:pStyle w:val="223"/>
        <w:numPr>
          <w:ilvl w:val="0"/>
          <w:numId w:val="0"/>
        </w:numPr>
        <w:ind w:left="420"/>
        <w:rPr>
          <w:rFonts w:ascii="黑体" w:hAnsi="黑体" w:eastAsia="黑体"/>
        </w:rPr>
      </w:pPr>
      <w:r>
        <w:rPr>
          <w:rFonts w:hint="eastAsia" w:ascii="黑体" w:hAnsi="黑体" w:eastAsia="黑体"/>
        </w:rPr>
        <w:t>集电线路跳闸次数 Tripping Times per collection line（TTPCL）</w:t>
      </w:r>
    </w:p>
    <w:p>
      <w:pPr>
        <w:ind w:firstLine="420" w:firstLineChars="200"/>
        <w:rPr>
          <w:rFonts w:hAnsi="宋体"/>
          <w:szCs w:val="24"/>
        </w:rPr>
      </w:pPr>
      <w:r>
        <w:rPr>
          <w:rFonts w:hint="eastAsia" w:hAnsi="宋体"/>
          <w:szCs w:val="24"/>
        </w:rPr>
        <w:t>110kV及以上非环境和电网端引起跳闸的故障、35kV及以下设备跳闸故障。</w:t>
      </w:r>
    </w:p>
    <w:p>
      <w:pPr>
        <w:ind w:firstLine="420" w:firstLineChars="200"/>
        <w:rPr>
          <w:rFonts w:hAnsi="宋体"/>
          <w:szCs w:val="24"/>
        </w:rPr>
      </w:pPr>
      <w:r>
        <w:rPr>
          <w:rFonts w:hint="eastAsia" w:hAnsi="宋体"/>
          <w:szCs w:val="24"/>
        </w:rPr>
        <w:t>注：百公里集电线路跳闸次数 Tripping Times per 100km collection line（TTPHCL）</w:t>
      </w:r>
    </w:p>
    <w:p>
      <w:pPr>
        <w:pStyle w:val="223"/>
        <w:ind w:left="420" w:hanging="420" w:hangingChars="200"/>
        <w:rPr>
          <w:rFonts w:ascii="黑体" w:hAnsi="黑体" w:eastAsia="黑体"/>
        </w:rPr>
      </w:pPr>
    </w:p>
    <w:p>
      <w:pPr>
        <w:pStyle w:val="223"/>
        <w:numPr>
          <w:ilvl w:val="0"/>
          <w:numId w:val="0"/>
        </w:numPr>
        <w:ind w:left="420"/>
        <w:rPr>
          <w:rFonts w:ascii="黑体" w:hAnsi="黑体" w:eastAsia="黑体"/>
        </w:rPr>
      </w:pPr>
      <w:r>
        <w:rPr>
          <w:rFonts w:hint="eastAsia" w:ascii="黑体" w:hAnsi="黑体" w:eastAsia="黑体"/>
        </w:rPr>
        <w:t>时间可利用率 Time Based availability（T</w:t>
      </w:r>
      <w:r>
        <w:rPr>
          <w:rFonts w:ascii="黑体" w:hAnsi="黑体" w:eastAsia="黑体"/>
        </w:rPr>
        <w:t>BA</w:t>
      </w:r>
      <w:r>
        <w:rPr>
          <w:rFonts w:hint="eastAsia" w:ascii="黑体" w:hAnsi="黑体" w:eastAsia="黑体"/>
        </w:rPr>
        <w:t>）</w:t>
      </w:r>
    </w:p>
    <w:p>
      <w:pPr>
        <w:ind w:firstLine="420" w:firstLineChars="200"/>
        <w:rPr>
          <w:rFonts w:hAnsi="宋体"/>
          <w:szCs w:val="24"/>
        </w:rPr>
      </w:pPr>
      <w:r>
        <w:rPr>
          <w:rFonts w:hint="eastAsia" w:hAnsi="宋体"/>
          <w:szCs w:val="24"/>
        </w:rPr>
        <w:t>在一定的评价时间内发电设备无故障可使用时间占考核时间的百分比，是用来描述统计期内发电设备处于可用状态的时间占总时间比例的指标，是用来考核设备可靠性时的一项指标。</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平均无故障时间 Mean time between failures（MTBF）</w:t>
      </w:r>
    </w:p>
    <w:p>
      <w:pPr>
        <w:ind w:firstLine="420" w:firstLineChars="200"/>
        <w:rPr>
          <w:rFonts w:hAnsi="宋体"/>
          <w:szCs w:val="24"/>
        </w:rPr>
      </w:pPr>
      <w:r>
        <w:rPr>
          <w:rFonts w:hint="eastAsia" w:hAnsi="宋体"/>
          <w:szCs w:val="24"/>
        </w:rPr>
        <w:t>场站发电设备两次相邻故障之间的平均时间。它直接衡量场站发电设备整体可靠性水平，综合评估场站发电设备故障频次。</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平均故障修复时间 Mean time to repair（MTTR）</w:t>
      </w:r>
    </w:p>
    <w:p>
      <w:pPr>
        <w:ind w:firstLine="420" w:firstLineChars="200"/>
        <w:rPr>
          <w:rFonts w:hAnsi="宋体"/>
          <w:szCs w:val="24"/>
        </w:rPr>
      </w:pPr>
      <w:r>
        <w:rPr>
          <w:rFonts w:hint="eastAsia" w:hAnsi="宋体"/>
          <w:szCs w:val="24"/>
        </w:rPr>
        <w:t>在规定的条件下和规定的期间内，场站发电设备的故障维修总时间与故障次数之比。它是衡量维修服务团队响应速度、故障诊断、修复效率和备件保障能力的综合指标。</w:t>
      </w:r>
    </w:p>
    <w:p>
      <w:pPr>
        <w:pStyle w:val="223"/>
        <w:ind w:left="420" w:hanging="420" w:hangingChars="200"/>
        <w:rPr>
          <w:rFonts w:ascii="黑体" w:hAnsi="黑体" w:eastAsia="黑体"/>
        </w:rPr>
      </w:pPr>
    </w:p>
    <w:p>
      <w:pPr>
        <w:pStyle w:val="223"/>
        <w:numPr>
          <w:ilvl w:val="0"/>
          <w:numId w:val="0"/>
        </w:numPr>
        <w:ind w:left="420"/>
        <w:rPr>
          <w:rFonts w:ascii="黑体" w:hAnsi="黑体" w:eastAsia="黑体"/>
        </w:rPr>
      </w:pPr>
      <w:r>
        <w:rPr>
          <w:rFonts w:hint="eastAsia" w:ascii="黑体" w:hAnsi="黑体" w:eastAsia="黑体"/>
        </w:rPr>
        <w:t>单位数量大部件更换次数 Key components replacement times per unit quantity of power generation equipment（KCRTPUQ）</w:t>
      </w:r>
    </w:p>
    <w:p>
      <w:pPr>
        <w:ind w:firstLine="420" w:firstLineChars="200"/>
        <w:rPr>
          <w:rFonts w:hAnsi="宋体"/>
          <w:szCs w:val="24"/>
        </w:rPr>
      </w:pPr>
      <w:r>
        <w:rPr>
          <w:rFonts w:hint="eastAsia" w:hAnsi="宋体"/>
          <w:szCs w:val="24"/>
        </w:rPr>
        <w:t>故障造成重大部件损坏或更换，需要动用吊车更换作业的设备故障，是考验区域预防性维护能力，控制运维成本及重大故障损失能力的指标。</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单位数量长停次数 Long stop times per unit quantity of power generation equipment（LSTPUQ）</w:t>
      </w:r>
    </w:p>
    <w:p>
      <w:pPr>
        <w:ind w:firstLine="420" w:firstLineChars="200"/>
        <w:rPr>
          <w:rFonts w:hAnsi="宋体"/>
          <w:szCs w:val="24"/>
        </w:rPr>
      </w:pPr>
      <w:r>
        <w:rPr>
          <w:rFonts w:hint="eastAsia" w:hAnsi="宋体"/>
          <w:szCs w:val="24"/>
        </w:rPr>
        <w:t>设备故障停机7日内设备未恢复并网运行，是衡量检修资源协调能力的指标。</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等效小时数偏差率 Deviation rate of equivalent hours（DREH）</w:t>
      </w:r>
    </w:p>
    <w:p>
      <w:pPr>
        <w:ind w:firstLine="420" w:firstLineChars="200"/>
        <w:rPr>
          <w:rFonts w:hAnsi="宋体"/>
          <w:szCs w:val="24"/>
        </w:rPr>
      </w:pPr>
      <w:r>
        <w:rPr>
          <w:rFonts w:hint="eastAsia" w:hAnsi="宋体"/>
          <w:szCs w:val="24"/>
        </w:rPr>
        <w:t>风电场发电量折算到该场全部装机满负荷运行条件下的发电小时数，衡量场站资源水平的指标；等效小时数偏差率是指等效小时数与等效小时数标定值（投运未满3年的场站可研等效小时数为标定值；投运满三年的场站以三年等效小时数的平均值为标定值）的差与等效小时数的比值。</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能量可利用率 Energy Based availability（EBA）</w:t>
      </w:r>
    </w:p>
    <w:p>
      <w:pPr>
        <w:ind w:firstLine="420" w:firstLineChars="200"/>
        <w:rPr>
          <w:rFonts w:hAnsi="宋体"/>
          <w:szCs w:val="24"/>
        </w:rPr>
      </w:pPr>
      <w:r>
        <w:rPr>
          <w:rFonts w:hint="eastAsia" w:hAnsi="宋体"/>
          <w:szCs w:val="24"/>
        </w:rPr>
        <w:t>实际发电量与理论发电量的比值。衡量设备发电效能，综合反映场站限电公关、输变电设备可靠性、自然条件受累等因素的管理能力。</w:t>
      </w:r>
    </w:p>
    <w:p>
      <w:pPr>
        <w:pStyle w:val="223"/>
        <w:ind w:left="420" w:hanging="420" w:hangingChars="200"/>
        <w:rPr>
          <w:rFonts w:ascii="黑体" w:hAnsi="黑体" w:eastAsia="黑体"/>
        </w:rPr>
      </w:pPr>
    </w:p>
    <w:p>
      <w:pPr>
        <w:pStyle w:val="223"/>
        <w:numPr>
          <w:ilvl w:val="0"/>
          <w:numId w:val="0"/>
        </w:numPr>
        <w:ind w:left="420"/>
        <w:rPr>
          <w:rFonts w:hint="eastAsia" w:ascii="黑体" w:hAnsi="黑体" w:eastAsia="黑体"/>
        </w:rPr>
      </w:pPr>
      <w:r>
        <w:rPr>
          <w:rFonts w:hint="eastAsia" w:ascii="黑体" w:hAnsi="黑体" w:eastAsia="黑体"/>
        </w:rPr>
        <w:t>场站用电率 Station electricity consumption rate（SECR）</w:t>
      </w:r>
    </w:p>
    <w:p>
      <w:pPr>
        <w:ind w:firstLine="420" w:firstLineChars="200"/>
        <w:rPr>
          <w:rFonts w:hAnsi="宋体"/>
          <w:szCs w:val="24"/>
        </w:rPr>
      </w:pPr>
      <w:r>
        <w:rPr>
          <w:rFonts w:hint="eastAsia" w:hAnsi="宋体"/>
          <w:szCs w:val="24"/>
        </w:rPr>
        <w:t>正常生产和生活用电占全场发电量的比值，衡量场站能耗。</w:t>
      </w:r>
      <w:bookmarkStart w:id="41" w:name="_Toc71528770"/>
      <w:bookmarkEnd w:id="41"/>
      <w:bookmarkStart w:id="42" w:name="_Toc71531807"/>
      <w:bookmarkEnd w:id="42"/>
    </w:p>
    <w:p>
      <w:pPr>
        <w:pStyle w:val="104"/>
        <w:spacing w:before="312" w:after="312"/>
      </w:pPr>
      <w:bookmarkStart w:id="43" w:name="_Toc71528789"/>
      <w:bookmarkStart w:id="44" w:name="_Toc61258043"/>
      <w:bookmarkStart w:id="45" w:name="_Toc71531826"/>
      <w:bookmarkStart w:id="46" w:name="_Toc14694"/>
      <w:bookmarkStart w:id="47" w:name="_Toc73537868"/>
      <w:bookmarkStart w:id="48" w:name="_Toc66268302"/>
      <w:bookmarkStart w:id="49" w:name="_Toc106022944"/>
      <w:r>
        <w:rPr>
          <w:rFonts w:hint="eastAsia"/>
        </w:rPr>
        <w:t>指标体系</w:t>
      </w:r>
      <w:bookmarkEnd w:id="43"/>
      <w:bookmarkEnd w:id="44"/>
      <w:bookmarkEnd w:id="45"/>
      <w:bookmarkEnd w:id="46"/>
      <w:bookmarkEnd w:id="47"/>
      <w:bookmarkEnd w:id="48"/>
      <w:bookmarkEnd w:id="49"/>
    </w:p>
    <w:p>
      <w:pPr>
        <w:pStyle w:val="105"/>
        <w:spacing w:before="156" w:after="156"/>
      </w:pPr>
      <w:bookmarkStart w:id="50" w:name="_Toc19038"/>
      <w:r>
        <w:rPr>
          <w:rFonts w:hint="eastAsia"/>
          <w:lang w:val="en-US" w:eastAsia="zh-CN"/>
        </w:rPr>
        <w:t>指标分类</w:t>
      </w:r>
      <w:bookmarkEnd w:id="50"/>
    </w:p>
    <w:p>
      <w:pPr>
        <w:pStyle w:val="56"/>
        <w:ind w:firstLine="420"/>
        <w:rPr>
          <w:rFonts w:hint="eastAsia"/>
          <w:highlight w:val="none"/>
        </w:rPr>
      </w:pPr>
      <w:r>
        <w:rPr>
          <w:rFonts w:hint="eastAsia"/>
        </w:rPr>
        <w:t>风力发电场站运行业绩指</w:t>
      </w:r>
      <w:r>
        <w:rPr>
          <w:rFonts w:hint="eastAsia"/>
          <w:highlight w:val="none"/>
        </w:rPr>
        <w:t>标分为安全性指标、可靠性指标、效能指标三类。</w:t>
      </w:r>
    </w:p>
    <w:p>
      <w:pPr>
        <w:pStyle w:val="105"/>
        <w:spacing w:before="156" w:after="156"/>
        <w:rPr>
          <w:rFonts w:hint="eastAsia"/>
          <w:highlight w:val="none"/>
          <w:lang w:val="en-US" w:eastAsia="zh-CN"/>
        </w:rPr>
      </w:pPr>
      <w:bookmarkStart w:id="51" w:name="_Toc23841"/>
      <w:r>
        <w:rPr>
          <w:rFonts w:hint="eastAsia"/>
          <w:highlight w:val="none"/>
          <w:lang w:val="en-US" w:eastAsia="zh-CN"/>
        </w:rPr>
        <w:t>单项指标</w:t>
      </w:r>
      <w:bookmarkEnd w:id="51"/>
    </w:p>
    <w:p>
      <w:pPr>
        <w:spacing w:line="240" w:lineRule="auto"/>
        <w:rPr>
          <w:rFonts w:hint="default"/>
          <w:lang w:val="en-US" w:eastAsia="zh-CN"/>
        </w:rPr>
      </w:pPr>
      <w:r>
        <w:rPr>
          <w:rFonts w:hint="eastAsia"/>
          <w:lang w:val="en-US" w:eastAsia="zh-CN"/>
        </w:rPr>
        <w:t>4.2.1 安全性指标</w:t>
      </w:r>
    </w:p>
    <w:p>
      <w:r>
        <w:rPr>
          <w:rFonts w:hint="eastAsia"/>
          <w:lang w:val="en-US" w:eastAsia="zh-CN"/>
        </w:rPr>
        <w:t>4</w:t>
      </w:r>
      <w:r>
        <w:rPr>
          <w:rFonts w:hint="eastAsia"/>
        </w:rPr>
        <w:t>.</w:t>
      </w:r>
      <w:r>
        <w:rPr>
          <w:rFonts w:hint="eastAsia"/>
          <w:lang w:val="en-US" w:eastAsia="zh-CN"/>
        </w:rPr>
        <w:t>2.1.1</w:t>
      </w:r>
      <w:r>
        <w:rPr>
          <w:rFonts w:hint="eastAsia"/>
        </w:rPr>
        <w:t xml:space="preserve"> 安全事故事件</w:t>
      </w:r>
    </w:p>
    <w:p>
      <w:pPr>
        <w:ind w:firstLine="420" w:firstLineChars="200"/>
        <w:rPr>
          <w:rFonts w:hAnsi="宋体"/>
          <w:szCs w:val="24"/>
        </w:rPr>
      </w:pPr>
      <w:r>
        <w:rPr>
          <w:rFonts w:hint="eastAsia" w:hAnsi="宋体"/>
          <w:szCs w:val="24"/>
        </w:rPr>
        <w:t>安全事故事件是指含业主和承包商在内的较大及以上人身事故、设备事故、电力安全事故及信息安全事故的总数。发生叶片（叶轮）掉落、风机倒塔、风机飞车、主变着火等重大安全事故为一票否决项，安全事故事件指标为0分。具体以公司安全质量与环保部年度绩效对事故事件定义为准。</w:t>
      </w:r>
    </w:p>
    <w:p>
      <w:r>
        <w:rPr>
          <w:rFonts w:hint="eastAsia"/>
          <w:lang w:val="en-US" w:eastAsia="zh-CN"/>
        </w:rPr>
        <w:t>4.2</w:t>
      </w:r>
      <w:r>
        <w:rPr>
          <w:rFonts w:hint="eastAsia"/>
        </w:rPr>
        <w:t>.1.2 百公里设备跳闸次数</w:t>
      </w:r>
    </w:p>
    <w:p>
      <w:pPr>
        <w:ind w:firstLine="420" w:firstLineChars="200"/>
      </w:pPr>
      <w:r>
        <w:rPr>
          <w:rFonts w:hint="eastAsia"/>
        </w:rPr>
        <w:t>设备跳闸是指110kV及以上非环境和电网端引起跳闸的故障、35kV及以下设备跳闸故障。</w:t>
      </w:r>
    </w:p>
    <w:p>
      <w:pPr>
        <w:ind w:firstLine="420" w:firstLineChars="200"/>
      </w:pPr>
      <w:r>
        <w:rPr>
          <w:rFonts w:hint="eastAsia"/>
        </w:rPr>
        <w:t>计算方法如下：</w:t>
      </w:r>
    </w:p>
    <w:p>
      <w:pPr>
        <w:spacing w:line="240" w:lineRule="auto"/>
        <w:jc w:val="center"/>
      </w:pPr>
      <w:r>
        <w:rPr>
          <w:position w:val="-32"/>
        </w:rPr>
        <w:object>
          <v:shape id="_x0000_i1025" o:spt="75" type="#_x0000_t75" style="height:36pt;width:75.7pt;" o:ole="t" filled="f" o:preferrelative="t" stroked="f" coordsize="21600,21600">
            <v:path/>
            <v:fill on="f" focussize="0,0"/>
            <v:stroke on="f" joinstyle="miter"/>
            <v:imagedata r:id="rId28" o:title=""/>
            <o:lock v:ext="edit" aspectratio="t"/>
            <w10:wrap type="none"/>
            <w10:anchorlock/>
          </v:shape>
          <o:OLEObject Type="Embed" ProgID="Equation.KSEE3" ShapeID="_x0000_i1025" DrawAspect="Content" ObjectID="_1468075725" r:id="rId27">
            <o:LockedField>false</o:LockedField>
          </o:OLEObject>
        </w:object>
      </w:r>
    </w:p>
    <w:p>
      <w:pPr>
        <w:ind w:firstLine="420" w:firstLineChars="200"/>
      </w:pPr>
      <w:r>
        <w:rPr>
          <w:rFonts w:hint="eastAsia"/>
        </w:rPr>
        <w:t>式中：</w:t>
      </w:r>
    </w:p>
    <w:p>
      <w:pPr>
        <w:ind w:firstLine="420" w:firstLineChars="200"/>
      </w:pPr>
      <w:r>
        <w:rPr>
          <w:rFonts w:hint="eastAsia"/>
        </w:rPr>
        <w:t>Z：统计周期百公里跳闸次数，单位：次；</w:t>
      </w:r>
    </w:p>
    <w:p>
      <w:pPr>
        <w:ind w:firstLine="420" w:firstLineChars="200"/>
      </w:pPr>
      <w:r>
        <w:rPr>
          <w:rFonts w:hint="eastAsia"/>
        </w:rPr>
        <w:t>L</w:t>
      </w:r>
      <w:r>
        <w:rPr>
          <w:rFonts w:hint="eastAsia"/>
          <w:vertAlign w:val="subscript"/>
        </w:rPr>
        <w:t>线路</w:t>
      </w:r>
      <w:r>
        <w:rPr>
          <w:rFonts w:hint="eastAsia"/>
        </w:rPr>
        <w:t>：线路公里数，单位：km；</w:t>
      </w:r>
    </w:p>
    <w:p>
      <w:pPr>
        <w:ind w:firstLine="420" w:firstLineChars="200"/>
      </w:pPr>
      <w:r>
        <w:rPr>
          <w:rFonts w:hint="eastAsia"/>
        </w:rPr>
        <w:t>N</w:t>
      </w:r>
      <w:r>
        <w:rPr>
          <w:rFonts w:hint="eastAsia"/>
          <w:vertAlign w:val="subscript"/>
        </w:rPr>
        <w:t>跳闸</w:t>
      </w:r>
      <w:r>
        <w:rPr>
          <w:rFonts w:hint="eastAsia"/>
        </w:rPr>
        <w:t>：统计周期跳闸次数，单位：次。</w:t>
      </w:r>
    </w:p>
    <w:p>
      <w:pPr>
        <w:rPr>
          <w:rFonts w:hint="default"/>
          <w:lang w:val="en-US" w:eastAsia="zh-CN"/>
        </w:rPr>
      </w:pPr>
      <w:r>
        <w:rPr>
          <w:rFonts w:hint="eastAsia"/>
          <w:lang w:val="en-US" w:eastAsia="zh-CN"/>
        </w:rPr>
        <w:t>4.2.2 可靠性指标</w:t>
      </w:r>
    </w:p>
    <w:p>
      <w:r>
        <w:rPr>
          <w:rFonts w:hint="eastAsia"/>
          <w:lang w:val="en-US" w:eastAsia="zh-CN"/>
        </w:rPr>
        <w:t>4</w:t>
      </w:r>
      <w:r>
        <w:rPr>
          <w:rFonts w:hint="eastAsia"/>
        </w:rPr>
        <w:t>.</w:t>
      </w:r>
      <w:r>
        <w:rPr>
          <w:rFonts w:hint="eastAsia"/>
          <w:lang w:val="en-US" w:eastAsia="zh-CN"/>
        </w:rPr>
        <w:t>2.</w:t>
      </w:r>
      <w:r>
        <w:rPr>
          <w:rFonts w:hint="eastAsia"/>
        </w:rPr>
        <w:t>2.1 时间可利用率TBA</w:t>
      </w:r>
    </w:p>
    <w:p>
      <w:pPr>
        <w:ind w:firstLine="420" w:firstLineChars="200"/>
      </w:pPr>
      <w:r>
        <w:rPr>
          <w:rFonts w:hint="eastAsia"/>
        </w:rPr>
        <w:t>时间可利用率（TBA，Time Based Availability），指在一定的评价时间内发电设备无故障可使用时间占考核时间的百分比，是用来描述统计期内发电设备处于可用状态的时间占总时间比例的指标，是用来考核设备可靠性时的一项指标。</w:t>
      </w:r>
    </w:p>
    <w:p>
      <w:pPr>
        <w:ind w:firstLine="420" w:firstLineChars="200"/>
      </w:pPr>
      <w:r>
        <w:rPr>
          <w:rFonts w:hint="eastAsia"/>
        </w:rPr>
        <w:t>其计算方法如下：</w:t>
      </w:r>
    </w:p>
    <w:p>
      <w:pPr>
        <w:spacing w:line="240" w:lineRule="auto"/>
        <w:jc w:val="center"/>
      </w:pPr>
      <w:r>
        <w:rPr>
          <w:position w:val="-32"/>
        </w:rPr>
        <w:object>
          <v:shape id="_x0000_i1026" o:spt="75" type="#_x0000_t75" style="height:36pt;width:122.9pt;" o:ole="t" filled="f" o:preferrelative="t" stroked="f" coordsize="21600,21600">
            <v:path/>
            <v:fill on="f" focussize="0,0"/>
            <v:stroke on="f" joinstyle="miter"/>
            <v:imagedata r:id="rId30" o:title=""/>
            <o:lock v:ext="edit" aspectratio="t"/>
            <w10:wrap type="none"/>
            <w10:anchorlock/>
          </v:shape>
          <o:OLEObject Type="Embed" ProgID="Equation.KSEE3" ShapeID="_x0000_i1026" DrawAspect="Content" ObjectID="_1468075726" r:id="rId29">
            <o:LockedField>false</o:LockedField>
          </o:OLEObject>
        </w:object>
      </w:r>
    </w:p>
    <w:p>
      <w:pPr>
        <w:ind w:firstLine="420" w:firstLineChars="200"/>
      </w:pPr>
      <w:r>
        <w:rPr>
          <w:rFonts w:hint="eastAsia"/>
        </w:rPr>
        <w:t xml:space="preserve">式中： </w:t>
      </w:r>
    </w:p>
    <w:p>
      <w:pPr>
        <w:ind w:firstLine="420" w:firstLineChars="200"/>
      </w:pPr>
      <w:r>
        <w:rPr>
          <w:rFonts w:hint="eastAsia"/>
        </w:rPr>
        <w:t>T</w:t>
      </w:r>
      <w:r>
        <w:rPr>
          <w:rFonts w:hint="eastAsia"/>
          <w:vertAlign w:val="subscript"/>
        </w:rPr>
        <w:t>统计</w:t>
      </w:r>
      <w:r>
        <w:rPr>
          <w:rFonts w:hint="eastAsia"/>
        </w:rPr>
        <w:t>：统计周期时间，单位：h；</w:t>
      </w:r>
    </w:p>
    <w:p>
      <w:pPr>
        <w:ind w:firstLine="420" w:firstLineChars="200"/>
      </w:pPr>
      <w:r>
        <w:rPr>
          <w:rFonts w:hint="eastAsia"/>
        </w:rPr>
        <w:t>T</w:t>
      </w:r>
      <w:r>
        <w:rPr>
          <w:rFonts w:hint="eastAsia"/>
          <w:vertAlign w:val="subscript"/>
        </w:rPr>
        <w:t>故障</w:t>
      </w:r>
      <w:r>
        <w:rPr>
          <w:rFonts w:hint="eastAsia"/>
        </w:rPr>
        <w:t>：故障停机时间，单位：h。</w:t>
      </w:r>
    </w:p>
    <w:p>
      <w:r>
        <w:rPr>
          <w:rFonts w:hint="eastAsia"/>
          <w:lang w:val="en-US" w:eastAsia="zh-CN"/>
        </w:rPr>
        <w:t>4</w:t>
      </w:r>
      <w:r>
        <w:rPr>
          <w:rFonts w:hint="eastAsia"/>
        </w:rPr>
        <w:t>.</w:t>
      </w:r>
      <w:r>
        <w:rPr>
          <w:rFonts w:hint="eastAsia"/>
          <w:lang w:val="en-US" w:eastAsia="zh-CN"/>
        </w:rPr>
        <w:t>2.</w:t>
      </w:r>
      <w:r>
        <w:rPr>
          <w:rFonts w:hint="eastAsia"/>
        </w:rPr>
        <w:t>2.2 平均故障间隔时间MTBF</w:t>
      </w:r>
    </w:p>
    <w:p>
      <w:pPr>
        <w:ind w:firstLine="420" w:firstLineChars="200"/>
      </w:pPr>
      <w:r>
        <w:rPr>
          <w:rFonts w:hint="eastAsia"/>
        </w:rPr>
        <w:t>平均故障间隔时间(MTBF,Mean Time between Failures)是指场站发电设备两次相邻故障之间的平均时间。它直接衡量场站发电设备整体可靠性水平，综合评估场站发电设备故障频次。</w:t>
      </w:r>
    </w:p>
    <w:p>
      <w:pPr>
        <w:ind w:firstLine="420" w:firstLineChars="200"/>
      </w:pPr>
      <w:r>
        <w:rPr>
          <w:rFonts w:hint="eastAsia"/>
        </w:rPr>
        <w:t>其计算方法如下：</w:t>
      </w:r>
    </w:p>
    <w:p>
      <w:pPr>
        <w:spacing w:line="240" w:lineRule="auto"/>
        <w:jc w:val="center"/>
      </w:pPr>
      <w:r>
        <w:rPr>
          <w:position w:val="-32"/>
        </w:rPr>
        <w:object>
          <v:shape id="_x0000_i1027" o:spt="75" type="#_x0000_t75" style="height:36pt;width:74.5pt;" o:ole="t" filled="f" o:preferrelative="t" stroked="f" coordsize="21600,21600">
            <v:path/>
            <v:fill on="f" focussize="0,0"/>
            <v:stroke on="f" joinstyle="miter"/>
            <v:imagedata r:id="rId32" o:title=""/>
            <o:lock v:ext="edit" aspectratio="t"/>
            <w10:wrap type="none"/>
            <w10:anchorlock/>
          </v:shape>
          <o:OLEObject Type="Embed" ProgID="Equation.KSEE3" ShapeID="_x0000_i1027" DrawAspect="Content" ObjectID="_1468075727" r:id="rId31">
            <o:LockedField>false</o:LockedField>
          </o:OLEObject>
        </w:object>
      </w:r>
    </w:p>
    <w:p>
      <w:pPr>
        <w:ind w:firstLine="420" w:firstLineChars="200"/>
      </w:pPr>
      <w:r>
        <w:rPr>
          <w:rFonts w:hint="eastAsia"/>
        </w:rPr>
        <w:t>式中：</w:t>
      </w:r>
    </w:p>
    <w:p>
      <w:pPr>
        <w:ind w:firstLine="420" w:firstLineChars="200"/>
      </w:pPr>
      <w:r>
        <w:rPr>
          <w:rFonts w:hint="eastAsia"/>
        </w:rPr>
        <w:t>N</w:t>
      </w:r>
      <w:r>
        <w:rPr>
          <w:rFonts w:hint="eastAsia"/>
          <w:vertAlign w:val="subscript"/>
        </w:rPr>
        <w:t>故障</w:t>
      </w:r>
      <w:r>
        <w:rPr>
          <w:rFonts w:hint="eastAsia"/>
        </w:rPr>
        <w:t>：故障次数，单位：次。</w:t>
      </w:r>
    </w:p>
    <w:p>
      <w:pPr>
        <w:ind w:firstLine="420" w:firstLineChars="200"/>
      </w:pPr>
      <w:r>
        <w:rPr>
          <w:rFonts w:hint="eastAsia"/>
        </w:rPr>
        <w:t>T</w:t>
      </w:r>
      <w:r>
        <w:rPr>
          <w:rFonts w:hint="eastAsia"/>
          <w:vertAlign w:val="subscript"/>
        </w:rPr>
        <w:t>统计</w:t>
      </w:r>
      <w:r>
        <w:rPr>
          <w:rFonts w:hint="eastAsia"/>
        </w:rPr>
        <w:t>：统计周期时间，单位：h。</w:t>
      </w:r>
    </w:p>
    <w:p>
      <w:r>
        <w:rPr>
          <w:rFonts w:hint="eastAsia"/>
          <w:lang w:val="en-US" w:eastAsia="zh-CN"/>
        </w:rPr>
        <w:t>4</w:t>
      </w:r>
      <w:r>
        <w:rPr>
          <w:rFonts w:hint="eastAsia"/>
        </w:rPr>
        <w:t>.</w:t>
      </w:r>
      <w:r>
        <w:rPr>
          <w:rFonts w:hint="eastAsia"/>
          <w:lang w:val="en-US" w:eastAsia="zh-CN"/>
        </w:rPr>
        <w:t>2.</w:t>
      </w:r>
      <w:r>
        <w:rPr>
          <w:rFonts w:hint="eastAsia"/>
        </w:rPr>
        <w:t>2.3 平均故障修复时间MTTR</w:t>
      </w:r>
    </w:p>
    <w:p>
      <w:pPr>
        <w:ind w:firstLine="420" w:firstLineChars="200"/>
      </w:pPr>
      <w:r>
        <w:rPr>
          <w:rFonts w:hint="eastAsia"/>
        </w:rPr>
        <w:t>平均故障修复时间（MTTR，Mean Time To Repair）是指在规定的条件下和规定的期间内，场站发电设备的故障维修总时间与故障次数之比。它是衡量维修服务团队响应速度、故障诊断、修复效率和备件保障能力的综合指标。</w:t>
      </w:r>
    </w:p>
    <w:p>
      <w:pPr>
        <w:ind w:firstLine="420" w:firstLineChars="200"/>
      </w:pPr>
      <w:r>
        <w:rPr>
          <w:rFonts w:hint="eastAsia"/>
        </w:rPr>
        <w:t>其计算方法如下：</w:t>
      </w:r>
    </w:p>
    <w:p>
      <w:pPr>
        <w:spacing w:line="240" w:lineRule="auto"/>
        <w:jc w:val="center"/>
      </w:pPr>
      <w:r>
        <w:rPr>
          <w:position w:val="-38"/>
        </w:rPr>
        <w:object>
          <v:shape id="_x0000_i1028" o:spt="75" type="#_x0000_t75" style="height:42.2pt;width:74.5pt;" o:ole="t" filled="f" o:preferrelative="t" stroked="f" coordsize="21600,21600">
            <v:path/>
            <v:fill on="f" focussize="0,0"/>
            <v:stroke on="f" joinstyle="miter"/>
            <v:imagedata r:id="rId34" o:title=""/>
            <o:lock v:ext="edit" aspectratio="t"/>
            <w10:wrap type="none"/>
            <w10:anchorlock/>
          </v:shape>
          <o:OLEObject Type="Embed" ProgID="Equation.KSEE3" ShapeID="_x0000_i1028" DrawAspect="Content" ObjectID="_1468075728" r:id="rId33">
            <o:LockedField>false</o:LockedField>
          </o:OLEObject>
        </w:object>
      </w:r>
    </w:p>
    <w:p>
      <w:pPr>
        <w:ind w:firstLine="420" w:firstLineChars="200"/>
      </w:pPr>
      <w:r>
        <w:rPr>
          <w:rFonts w:hint="eastAsia"/>
        </w:rPr>
        <w:t>式中：</w:t>
      </w:r>
    </w:p>
    <w:p>
      <w:pPr>
        <w:ind w:firstLine="420" w:firstLineChars="200"/>
      </w:pPr>
      <w:r>
        <w:rPr>
          <w:rFonts w:hint="eastAsia"/>
        </w:rPr>
        <w:t>T</w:t>
      </w:r>
      <w:r>
        <w:rPr>
          <w:rFonts w:hint="eastAsia"/>
          <w:vertAlign w:val="subscript"/>
        </w:rPr>
        <w:t>故障</w:t>
      </w:r>
      <w:r>
        <w:rPr>
          <w:rFonts w:hint="eastAsia"/>
        </w:rPr>
        <w:t>：统计周期故障时间，单位：h；</w:t>
      </w:r>
    </w:p>
    <w:p>
      <w:pPr>
        <w:ind w:firstLine="420" w:firstLineChars="200"/>
      </w:pPr>
      <w:r>
        <w:rPr>
          <w:rFonts w:hint="eastAsia"/>
        </w:rPr>
        <w:t>N</w:t>
      </w:r>
      <w:r>
        <w:rPr>
          <w:rFonts w:hint="eastAsia"/>
          <w:vertAlign w:val="subscript"/>
        </w:rPr>
        <w:t>故障</w:t>
      </w:r>
      <w:r>
        <w:rPr>
          <w:rFonts w:hint="eastAsia"/>
        </w:rPr>
        <w:t>：统计周期故障次数，单位：次。</w:t>
      </w:r>
    </w:p>
    <w:p>
      <w:r>
        <w:rPr>
          <w:rFonts w:hint="eastAsia"/>
          <w:lang w:val="en-US" w:eastAsia="zh-CN"/>
        </w:rPr>
        <w:t>4</w:t>
      </w:r>
      <w:r>
        <w:rPr>
          <w:rFonts w:hint="eastAsia"/>
        </w:rPr>
        <w:t>.</w:t>
      </w:r>
      <w:r>
        <w:rPr>
          <w:rFonts w:hint="eastAsia"/>
          <w:lang w:val="en-US" w:eastAsia="zh-CN"/>
        </w:rPr>
        <w:t>2.</w:t>
      </w:r>
      <w:r>
        <w:rPr>
          <w:rFonts w:hint="eastAsia"/>
        </w:rPr>
        <w:t>2.4 单位容量大部件更换次数</w:t>
      </w:r>
    </w:p>
    <w:p>
      <w:pPr>
        <w:ind w:firstLine="420" w:firstLineChars="200"/>
      </w:pPr>
      <w:r>
        <w:rPr>
          <w:rFonts w:hint="eastAsia"/>
        </w:rPr>
        <w:t>故障造成重大部件损坏或更换，需要动用吊车更换作业的设备故障，是考验区域预防性维护能力，控制运维成本及重大故障损失能力的指标。</w:t>
      </w:r>
    </w:p>
    <w:p>
      <w:pPr>
        <w:ind w:firstLine="420" w:firstLineChars="200"/>
      </w:pPr>
      <w:r>
        <w:rPr>
          <w:rFonts w:hint="eastAsia"/>
        </w:rPr>
        <w:t>其计算方法如下：</w:t>
      </w:r>
    </w:p>
    <w:p>
      <w:pPr>
        <w:spacing w:line="240" w:lineRule="auto"/>
        <w:jc w:val="center"/>
      </w:pPr>
      <w:r>
        <w:rPr>
          <w:position w:val="-24"/>
        </w:rPr>
        <w:object>
          <v:shape id="_x0000_i1029" o:spt="75" type="#_x0000_t75" style="height:32.3pt;width:81.95pt;" o:ole="t" filled="f" o:preferrelative="t" stroked="f" coordsize="21600,21600">
            <v:path/>
            <v:fill on="f" focussize="0,0"/>
            <v:stroke on="f" joinstyle="miter"/>
            <v:imagedata r:id="rId36" o:title=""/>
            <o:lock v:ext="edit" aspectratio="t"/>
            <w10:wrap type="none"/>
            <w10:anchorlock/>
          </v:shape>
          <o:OLEObject Type="Embed" ProgID="Equation.KSEE3" ShapeID="_x0000_i1029" DrawAspect="Content" ObjectID="_1468075729" r:id="rId35">
            <o:LockedField>false</o:LockedField>
          </o:OLEObject>
        </w:object>
      </w:r>
    </w:p>
    <w:p>
      <w:pPr>
        <w:ind w:firstLine="420" w:firstLineChars="200"/>
      </w:pPr>
      <w:r>
        <w:rPr>
          <w:rFonts w:hint="eastAsia"/>
        </w:rPr>
        <w:t>式中：</w:t>
      </w:r>
    </w:p>
    <w:p>
      <w:pPr>
        <w:ind w:firstLine="420" w:firstLineChars="200"/>
      </w:pPr>
      <w:r>
        <w:rPr>
          <w:rFonts w:hint="eastAsia"/>
        </w:rPr>
        <w:t>D</w:t>
      </w:r>
      <w:r>
        <w:rPr>
          <w:rFonts w:hint="eastAsia"/>
          <w:vertAlign w:val="subscript"/>
        </w:rPr>
        <w:t>大部件</w:t>
      </w:r>
      <w:r>
        <w:rPr>
          <w:rFonts w:hint="eastAsia"/>
        </w:rPr>
        <w:t>：统计周期单位容量大部件更换次数，单位：次/万kWh；</w:t>
      </w:r>
    </w:p>
    <w:p>
      <w:pPr>
        <w:ind w:firstLine="420" w:firstLineChars="200"/>
      </w:pPr>
      <w:r>
        <w:rPr>
          <w:rFonts w:hint="eastAsia"/>
        </w:rPr>
        <w:t>N</w:t>
      </w:r>
      <w:r>
        <w:rPr>
          <w:rFonts w:hint="eastAsia"/>
          <w:vertAlign w:val="subscript"/>
        </w:rPr>
        <w:t>大部件</w:t>
      </w:r>
      <w:r>
        <w:rPr>
          <w:rFonts w:hint="eastAsia"/>
        </w:rPr>
        <w:t>：统计周期大部件更换次数，单位：次；</w:t>
      </w:r>
    </w:p>
    <w:p>
      <w:pPr>
        <w:ind w:firstLine="420" w:firstLineChars="200"/>
      </w:pPr>
      <w:r>
        <w:rPr>
          <w:rFonts w:hint="eastAsia"/>
        </w:rPr>
        <w:t>M：统计周期设备容量，单位：万kWh。</w:t>
      </w:r>
    </w:p>
    <w:p>
      <w:r>
        <w:rPr>
          <w:rFonts w:hint="eastAsia"/>
          <w:lang w:val="en-US" w:eastAsia="zh-CN"/>
        </w:rPr>
        <w:t>4</w:t>
      </w:r>
      <w:r>
        <w:rPr>
          <w:rFonts w:hint="eastAsia"/>
        </w:rPr>
        <w:t>.</w:t>
      </w:r>
      <w:r>
        <w:rPr>
          <w:rFonts w:hint="eastAsia"/>
          <w:lang w:val="en-US" w:eastAsia="zh-CN"/>
        </w:rPr>
        <w:t>2.</w:t>
      </w:r>
      <w:r>
        <w:rPr>
          <w:rFonts w:hint="eastAsia"/>
        </w:rPr>
        <w:t>2.5 单位容量长停次数</w:t>
      </w:r>
    </w:p>
    <w:p>
      <w:pPr>
        <w:ind w:firstLine="420" w:firstLineChars="200"/>
      </w:pPr>
      <w:r>
        <w:rPr>
          <w:rFonts w:hint="eastAsia"/>
        </w:rPr>
        <w:t>故障长停是指设备故障停机7日内设备未恢复并网运行，是衡量检修资源协调能力的指标。</w:t>
      </w:r>
    </w:p>
    <w:p>
      <w:pPr>
        <w:ind w:firstLine="420" w:firstLineChars="200"/>
      </w:pPr>
      <w:r>
        <w:rPr>
          <w:rFonts w:hint="eastAsia"/>
        </w:rPr>
        <w:t>其计算方法如下：</w:t>
      </w:r>
    </w:p>
    <w:p>
      <w:pPr>
        <w:spacing w:line="240" w:lineRule="auto"/>
        <w:jc w:val="center"/>
      </w:pPr>
      <w:r>
        <w:rPr>
          <w:position w:val="-24"/>
        </w:rPr>
        <w:object>
          <v:shape id="_x0000_i1030" o:spt="75" type="#_x0000_t75" style="height:32.3pt;width:67.05pt;" o:ole="t" filled="f" o:preferrelative="t" stroked="f" coordsize="21600,21600">
            <v:path/>
            <v:fill on="f" focussize="0,0"/>
            <v:stroke on="f" joinstyle="miter"/>
            <v:imagedata r:id="rId38" o:title=""/>
            <o:lock v:ext="edit" aspectratio="t"/>
            <w10:wrap type="none"/>
            <w10:anchorlock/>
          </v:shape>
          <o:OLEObject Type="Embed" ProgID="Equation.KSEE3" ShapeID="_x0000_i1030" DrawAspect="Content" ObjectID="_1468075730" r:id="rId37">
            <o:LockedField>false</o:LockedField>
          </o:OLEObject>
        </w:object>
      </w:r>
    </w:p>
    <w:p>
      <w:pPr>
        <w:ind w:firstLine="420" w:firstLineChars="200"/>
      </w:pPr>
      <w:r>
        <w:rPr>
          <w:rFonts w:hint="eastAsia"/>
        </w:rPr>
        <w:t>式中：</w:t>
      </w:r>
    </w:p>
    <w:p>
      <w:pPr>
        <w:ind w:firstLine="420" w:firstLineChars="200"/>
      </w:pPr>
      <w:r>
        <w:rPr>
          <w:rFonts w:hint="eastAsia"/>
        </w:rPr>
        <w:t>G</w:t>
      </w:r>
      <w:r>
        <w:rPr>
          <w:rFonts w:hint="eastAsia"/>
          <w:vertAlign w:val="subscript"/>
        </w:rPr>
        <w:t>故障</w:t>
      </w:r>
      <w:r>
        <w:rPr>
          <w:rFonts w:hint="eastAsia"/>
        </w:rPr>
        <w:t>：统计周期单位容量长停次数，单位：次/万kW；</w:t>
      </w:r>
    </w:p>
    <w:p>
      <w:pPr>
        <w:ind w:firstLine="420" w:firstLineChars="200"/>
      </w:pPr>
      <w:r>
        <w:rPr>
          <w:rFonts w:hint="eastAsia"/>
        </w:rPr>
        <w:t>N</w:t>
      </w:r>
      <w:r>
        <w:rPr>
          <w:rFonts w:hint="eastAsia"/>
          <w:vertAlign w:val="subscript"/>
        </w:rPr>
        <w:t>故障</w:t>
      </w:r>
      <w:r>
        <w:rPr>
          <w:rFonts w:hint="eastAsia"/>
        </w:rPr>
        <w:t>：统计周期长停次数，单位：次；</w:t>
      </w:r>
    </w:p>
    <w:p>
      <w:pPr>
        <w:ind w:firstLine="420" w:firstLineChars="200"/>
      </w:pPr>
      <w:r>
        <w:rPr>
          <w:rFonts w:hint="eastAsia"/>
        </w:rPr>
        <w:t>M：统计周期设备容量，单位：万kW。</w:t>
      </w:r>
    </w:p>
    <w:p>
      <w:r>
        <w:rPr>
          <w:rFonts w:hint="eastAsia"/>
          <w:lang w:val="en-US" w:eastAsia="zh-CN"/>
        </w:rPr>
        <w:t>4.2.3 效能指标</w:t>
      </w:r>
    </w:p>
    <w:p>
      <w:r>
        <w:rPr>
          <w:rFonts w:hint="eastAsia"/>
          <w:lang w:val="en-US" w:eastAsia="zh-CN"/>
        </w:rPr>
        <w:t>4.2</w:t>
      </w:r>
      <w:r>
        <w:rPr>
          <w:rFonts w:hint="eastAsia"/>
        </w:rPr>
        <w:t>.3.1 等效小时数偏差率</w:t>
      </w:r>
    </w:p>
    <w:p>
      <w:pPr>
        <w:ind w:firstLine="420" w:firstLineChars="200"/>
      </w:pPr>
      <w:r>
        <w:rPr>
          <w:rFonts w:hint="eastAsia"/>
        </w:rPr>
        <w:t>等效小时数是指风电场发电量折算到该场全部装机满负荷运行条件下的发电小时数，衡量场站资源水平的指标；等效小时数偏差率是指等效小时数与等效小时数标定值（投运未满3年的场站可研等效小时数为标定值；投运满三年的场站以三年等效小时数的平均值为标定值）的差与等效小时数的比值。其计算方法如下：</w:t>
      </w:r>
    </w:p>
    <w:p>
      <w:pPr>
        <w:spacing w:line="240" w:lineRule="auto"/>
        <w:jc w:val="center"/>
      </w:pPr>
      <w:r>
        <w:rPr>
          <w:position w:val="-32"/>
        </w:rPr>
        <w:object>
          <v:shape id="_x0000_i1031" o:spt="75" type="#_x0000_t75" style="height:36pt;width:98.05pt;" o:ole="t" filled="f" o:preferrelative="t" stroked="f" coordsize="21600,21600">
            <v:path/>
            <v:fill on="f" focussize="0,0"/>
            <v:stroke on="f" joinstyle="miter"/>
            <v:imagedata r:id="rId40" o:title=""/>
            <o:lock v:ext="edit" aspectratio="t"/>
            <w10:wrap type="none"/>
            <w10:anchorlock/>
          </v:shape>
          <o:OLEObject Type="Embed" ProgID="Equation.KSEE3" ShapeID="_x0000_i1031" DrawAspect="Content" ObjectID="_1468075731" r:id="rId39">
            <o:LockedField>false</o:LockedField>
          </o:OLEObject>
        </w:object>
      </w:r>
    </w:p>
    <w:p>
      <w:pPr>
        <w:ind w:firstLine="420" w:firstLineChars="200"/>
      </w:pPr>
      <w:r>
        <w:rPr>
          <w:rFonts w:hint="eastAsia"/>
        </w:rPr>
        <w:t>式中：</w:t>
      </w:r>
    </w:p>
    <w:p>
      <w:pPr>
        <w:ind w:firstLine="420" w:firstLineChars="200"/>
      </w:pPr>
      <w:r>
        <w:rPr>
          <w:rFonts w:hint="eastAsia"/>
        </w:rPr>
        <w:t>Q</w:t>
      </w:r>
      <w:r>
        <w:rPr>
          <w:rFonts w:hint="eastAsia"/>
          <w:vertAlign w:val="subscript"/>
        </w:rPr>
        <w:t>偏差率</w:t>
      </w:r>
      <w:r>
        <w:rPr>
          <w:rFonts w:hint="eastAsia"/>
        </w:rPr>
        <w:t>：统计周期标定小时数偏差率；</w:t>
      </w:r>
    </w:p>
    <w:p>
      <w:pPr>
        <w:ind w:firstLine="420" w:firstLineChars="200"/>
      </w:pPr>
      <w:r>
        <w:rPr>
          <w:rFonts w:hint="eastAsia"/>
        </w:rPr>
        <w:t>T</w:t>
      </w:r>
      <w:r>
        <w:rPr>
          <w:rFonts w:hint="eastAsia"/>
          <w:vertAlign w:val="subscript"/>
        </w:rPr>
        <w:t>标定</w:t>
      </w:r>
      <w:r>
        <w:rPr>
          <w:rFonts w:hint="eastAsia"/>
        </w:rPr>
        <w:t>：统计周期标定小时数，单位：h。</w:t>
      </w:r>
    </w:p>
    <w:p>
      <w:pPr>
        <w:spacing w:line="240" w:lineRule="auto"/>
        <w:jc w:val="center"/>
      </w:pPr>
      <w:r>
        <w:rPr>
          <w:position w:val="-24"/>
        </w:rPr>
        <w:object>
          <v:shape id="_x0000_i1032" o:spt="75" type="#_x0000_t75" style="height:31.05pt;width:50.9pt;" o:ole="t" filled="f" o:preferrelative="t" stroked="f" coordsize="21600,21600">
            <v:path/>
            <v:fill on="f" focussize="0,0"/>
            <v:stroke on="f" joinstyle="miter"/>
            <v:imagedata r:id="rId42" o:title=""/>
            <o:lock v:ext="edit" aspectratio="t"/>
            <w10:wrap type="none"/>
            <w10:anchorlock/>
          </v:shape>
          <o:OLEObject Type="Embed" ProgID="Equation.KSEE3" ShapeID="_x0000_i1032" DrawAspect="Content" ObjectID="_1468075732" r:id="rId41">
            <o:LockedField>false</o:LockedField>
          </o:OLEObject>
        </w:object>
      </w:r>
    </w:p>
    <w:p>
      <w:pPr>
        <w:ind w:firstLine="420" w:firstLineChars="200"/>
      </w:pPr>
      <w:r>
        <w:rPr>
          <w:rFonts w:hint="eastAsia"/>
        </w:rPr>
        <w:t>式中：</w:t>
      </w:r>
    </w:p>
    <w:p>
      <w:pPr>
        <w:ind w:firstLine="420" w:firstLineChars="200"/>
      </w:pPr>
      <w:r>
        <w:rPr>
          <w:rFonts w:hint="eastAsia"/>
        </w:rPr>
        <w:t>T</w:t>
      </w:r>
      <w:r>
        <w:rPr>
          <w:rFonts w:hint="eastAsia"/>
          <w:vertAlign w:val="subscript"/>
        </w:rPr>
        <w:t>等效</w:t>
      </w:r>
      <w:r>
        <w:rPr>
          <w:rFonts w:hint="eastAsia"/>
        </w:rPr>
        <w:t>：统计周期等效小时数，单位：h；</w:t>
      </w:r>
    </w:p>
    <w:p>
      <w:pPr>
        <w:ind w:firstLine="420" w:firstLineChars="200"/>
      </w:pPr>
      <w:r>
        <w:rPr>
          <w:rFonts w:hint="eastAsia"/>
        </w:rPr>
        <w:t>W：统计周期发电量，单位：万kWh；</w:t>
      </w:r>
    </w:p>
    <w:p>
      <w:pPr>
        <w:ind w:firstLine="420" w:firstLineChars="200"/>
      </w:pPr>
      <w:r>
        <w:rPr>
          <w:rFonts w:hint="eastAsia"/>
        </w:rPr>
        <w:t>M：统计单位容量，单位：万kWh；</w:t>
      </w:r>
    </w:p>
    <w:p>
      <w:r>
        <w:rPr>
          <w:rFonts w:hint="eastAsia"/>
          <w:lang w:val="en-US" w:eastAsia="zh-CN"/>
        </w:rPr>
        <w:t>4.2</w:t>
      </w:r>
      <w:r>
        <w:rPr>
          <w:rFonts w:hint="eastAsia"/>
        </w:rPr>
        <w:t>.3.2 EBA能量可利用率</w:t>
      </w:r>
    </w:p>
    <w:p>
      <w:pPr>
        <w:ind w:firstLine="420" w:firstLineChars="200"/>
      </w:pPr>
      <w:r>
        <w:rPr>
          <w:rFonts w:hint="eastAsia"/>
        </w:rPr>
        <w:t>能量可利用率（EBA，Energy Based Availability）是实际发电量与理论发电量的比值。衡量设备发电效能，综合反映场站限电公关、输变电设备可靠性、自然条件受累等因素的管理能力。</w:t>
      </w:r>
    </w:p>
    <w:p>
      <w:pPr>
        <w:ind w:firstLine="420" w:firstLineChars="200"/>
      </w:pPr>
      <w:r>
        <w:rPr>
          <w:rFonts w:hint="eastAsia"/>
        </w:rPr>
        <w:t>其计算方法如下：</w:t>
      </w:r>
    </w:p>
    <w:p>
      <w:pPr>
        <w:spacing w:line="240" w:lineRule="auto"/>
        <w:jc w:val="center"/>
      </w:pPr>
      <w:r>
        <w:rPr>
          <w:position w:val="-24"/>
        </w:rPr>
        <w:object>
          <v:shape id="_x0000_i1033" o:spt="75" type="#_x0000_t75" style="height:31.05pt;width:103.05pt;" o:ole="t" filled="f" o:preferrelative="t" stroked="f" coordsize="21600,21600">
            <v:path/>
            <v:fill on="f" focussize="0,0"/>
            <v:stroke on="f" joinstyle="miter"/>
            <v:imagedata r:id="rId44" o:title=""/>
            <o:lock v:ext="edit" aspectratio="t"/>
            <w10:wrap type="none"/>
            <w10:anchorlock/>
          </v:shape>
          <o:OLEObject Type="Embed" ProgID="Equation.KSEE3" ShapeID="_x0000_i1033" DrawAspect="Content" ObjectID="_1468075733" r:id="rId43">
            <o:LockedField>false</o:LockedField>
          </o:OLEObject>
        </w:object>
      </w:r>
    </w:p>
    <w:p>
      <w:pPr>
        <w:ind w:firstLine="420" w:firstLineChars="200"/>
      </w:pPr>
      <w:r>
        <w:rPr>
          <w:rFonts w:hint="eastAsia"/>
        </w:rPr>
        <w:t>式中：</w:t>
      </w:r>
    </w:p>
    <w:p>
      <w:pPr>
        <w:ind w:firstLine="420" w:firstLineChars="200"/>
      </w:pPr>
      <w:r>
        <w:rPr>
          <w:rFonts w:hint="eastAsia"/>
        </w:rPr>
        <w:t>PR</w:t>
      </w:r>
      <w:r>
        <w:rPr>
          <w:rFonts w:hint="eastAsia"/>
          <w:vertAlign w:val="subscript"/>
        </w:rPr>
        <w:t>t</w:t>
      </w:r>
      <w:r>
        <w:rPr>
          <w:rFonts w:hint="eastAsia"/>
        </w:rPr>
        <w:t>：在t时间段内电站的平均系统效率；</w:t>
      </w:r>
    </w:p>
    <w:p>
      <w:pPr>
        <w:ind w:firstLine="420" w:firstLineChars="200"/>
      </w:pPr>
      <w:r>
        <w:rPr>
          <w:rFonts w:hint="eastAsia"/>
        </w:rPr>
        <w:t>E</w:t>
      </w:r>
      <w:r>
        <w:rPr>
          <w:rFonts w:hint="eastAsia"/>
          <w:vertAlign w:val="subscript"/>
        </w:rPr>
        <w:t>t</w:t>
      </w:r>
      <w:r>
        <w:rPr>
          <w:rFonts w:hint="eastAsia"/>
        </w:rPr>
        <w:t>：在t时间段内电站输入电网的电量，单位：万kWh；</w:t>
      </w:r>
    </w:p>
    <w:p>
      <w:pPr>
        <w:ind w:firstLine="420" w:firstLineChars="200"/>
      </w:pPr>
      <w:r>
        <w:rPr>
          <w:rFonts w:hint="eastAsia"/>
        </w:rPr>
        <w:t>P</w:t>
      </w:r>
      <w:r>
        <w:rPr>
          <w:rFonts w:hint="eastAsia"/>
          <w:vertAlign w:val="subscript"/>
        </w:rPr>
        <w:t>e</w:t>
      </w:r>
      <w:r>
        <w:rPr>
          <w:rFonts w:hint="eastAsia"/>
        </w:rPr>
        <w:t>：电站组件装机的标称容量，单位：万kW；</w:t>
      </w:r>
    </w:p>
    <w:p>
      <w:pPr>
        <w:ind w:firstLine="420" w:firstLineChars="200"/>
      </w:pPr>
      <w:r>
        <w:rPr>
          <w:rFonts w:hint="eastAsia"/>
        </w:rPr>
        <w:t>H</w:t>
      </w:r>
      <w:r>
        <w:rPr>
          <w:rFonts w:hint="eastAsia"/>
          <w:vertAlign w:val="subscript"/>
        </w:rPr>
        <w:t>t</w:t>
      </w:r>
      <w:r>
        <w:rPr>
          <w:rFonts w:hint="eastAsia"/>
        </w:rPr>
        <w:t>：是t时间段内方阵面上的峰值日照时数，单位：h。</w:t>
      </w:r>
    </w:p>
    <w:p>
      <w:r>
        <w:rPr>
          <w:rFonts w:hint="eastAsia"/>
          <w:lang w:val="en-US" w:eastAsia="zh-CN"/>
        </w:rPr>
        <w:t>4.2</w:t>
      </w:r>
      <w:r>
        <w:rPr>
          <w:rFonts w:hint="eastAsia"/>
        </w:rPr>
        <w:t>.3.3 综合厂用电率</w:t>
      </w:r>
    </w:p>
    <w:p>
      <w:pPr>
        <w:ind w:firstLine="420" w:firstLineChars="200"/>
      </w:pPr>
      <w:r>
        <w:rPr>
          <w:rFonts w:hint="eastAsia"/>
        </w:rPr>
        <w:t>综合厂用电率指正常生产和生活用电占全场发电量的比值，衡量场站能耗。</w:t>
      </w:r>
    </w:p>
    <w:p>
      <w:pPr>
        <w:ind w:firstLine="420" w:firstLineChars="200"/>
      </w:pPr>
      <w:r>
        <w:rPr>
          <w:rFonts w:hint="eastAsia"/>
        </w:rPr>
        <w:t>其计算方法如下：</w:t>
      </w:r>
    </w:p>
    <w:p>
      <w:pPr>
        <w:spacing w:line="240" w:lineRule="auto"/>
        <w:jc w:val="center"/>
      </w:pPr>
      <w:r>
        <w:rPr>
          <w:position w:val="-24"/>
        </w:rPr>
        <w:object>
          <v:shape id="_x0000_i1034" o:spt="75" type="#_x0000_t75" style="height:33.5pt;width:78.2pt;" o:ole="t" filled="f" o:preferrelative="t" stroked="f" coordsize="21600,21600">
            <v:path/>
            <v:fill on="f" focussize="0,0"/>
            <v:stroke on="f" joinstyle="miter"/>
            <v:imagedata r:id="rId46" o:title=""/>
            <o:lock v:ext="edit" aspectratio="t"/>
            <w10:wrap type="none"/>
            <w10:anchorlock/>
          </v:shape>
          <o:OLEObject Type="Embed" ProgID="Equation.KSEE3" ShapeID="_x0000_i1034" DrawAspect="Content" ObjectID="_1468075734" r:id="rId45">
            <o:LockedField>false</o:LockedField>
          </o:OLEObject>
        </w:object>
      </w:r>
    </w:p>
    <w:p>
      <w:pPr>
        <w:ind w:firstLine="420" w:firstLineChars="200"/>
      </w:pPr>
      <w:r>
        <w:rPr>
          <w:rFonts w:hint="eastAsia"/>
        </w:rPr>
        <w:t>式中：</w:t>
      </w:r>
    </w:p>
    <w:p>
      <w:pPr>
        <w:ind w:firstLine="420" w:firstLineChars="200"/>
      </w:pPr>
      <w:r>
        <w:rPr>
          <w:rFonts w:hint="eastAsia"/>
        </w:rPr>
        <w:t>W</w:t>
      </w:r>
      <w:r>
        <w:rPr>
          <w:rFonts w:hint="eastAsia"/>
          <w:vertAlign w:val="subscript"/>
        </w:rPr>
        <w:t>i</w:t>
      </w:r>
      <w:r>
        <w:rPr>
          <w:rFonts w:hint="eastAsia"/>
        </w:rPr>
        <w:t>：综合场用电率；</w:t>
      </w:r>
    </w:p>
    <w:p>
      <w:pPr>
        <w:ind w:firstLine="420" w:firstLineChars="200"/>
      </w:pPr>
      <w:r>
        <w:rPr>
          <w:rFonts w:hint="eastAsia"/>
        </w:rPr>
        <w:t>W</w:t>
      </w:r>
      <w:r>
        <w:rPr>
          <w:rFonts w:hint="eastAsia"/>
          <w:vertAlign w:val="subscript"/>
        </w:rPr>
        <w:t>q</w:t>
      </w:r>
      <w:r>
        <w:rPr>
          <w:rFonts w:hint="eastAsia"/>
        </w:rPr>
        <w:t>：场用电量，单位：万kWh；</w:t>
      </w:r>
    </w:p>
    <w:p>
      <w:pPr>
        <w:ind w:firstLine="420" w:firstLineChars="200"/>
        <w:rPr>
          <w:rFonts w:hint="eastAsia"/>
        </w:rPr>
      </w:pPr>
      <w:r>
        <w:rPr>
          <w:rFonts w:hint="eastAsia"/>
        </w:rPr>
        <w:t>W：全场发电量，单位：万kWh。</w:t>
      </w:r>
    </w:p>
    <w:p>
      <w:pPr>
        <w:pStyle w:val="104"/>
        <w:spacing w:before="312" w:after="312"/>
      </w:pPr>
      <w:bookmarkStart w:id="52" w:name="_Toc14986"/>
      <w:r>
        <w:rPr>
          <w:rFonts w:hint="eastAsia"/>
          <w:lang w:val="en-US" w:eastAsia="zh-CN"/>
        </w:rPr>
        <w:t>指标评价</w:t>
      </w:r>
      <w:bookmarkEnd w:id="52"/>
    </w:p>
    <w:p>
      <w:pPr>
        <w:pStyle w:val="105"/>
        <w:spacing w:before="156" w:after="156"/>
      </w:pPr>
      <w:bookmarkStart w:id="53" w:name="_Toc27943"/>
      <w:r>
        <w:rPr>
          <w:rFonts w:hint="eastAsia"/>
          <w:lang w:val="en-US" w:eastAsia="zh-CN"/>
        </w:rPr>
        <w:t>基本要求</w:t>
      </w:r>
      <w:bookmarkEnd w:id="53"/>
    </w:p>
    <w:p>
      <w:pPr>
        <w:pStyle w:val="56"/>
        <w:ind w:left="0" w:leftChars="0" w:firstLine="0" w:firstLineChars="0"/>
        <w:rPr>
          <w:rFonts w:hint="eastAsia"/>
          <w:highlight w:val="none"/>
          <w:lang w:eastAsia="zh-CN"/>
        </w:rPr>
      </w:pPr>
      <w:r>
        <w:rPr>
          <w:rFonts w:hint="eastAsia"/>
          <w:highlight w:val="none"/>
          <w:lang w:val="en-US" w:eastAsia="zh-CN"/>
        </w:rPr>
        <w:t>5.1.1</w:t>
      </w:r>
      <w:r>
        <w:rPr>
          <w:rFonts w:hint="eastAsia"/>
          <w:highlight w:val="none"/>
        </w:rPr>
        <w:t>场站运行业绩指标评价</w:t>
      </w:r>
      <w:r>
        <w:rPr>
          <w:rFonts w:hint="eastAsia"/>
          <w:highlight w:val="none"/>
          <w:lang w:eastAsia="zh-CN"/>
        </w:rPr>
        <w:t>宜在正式投产后一年后进行。</w:t>
      </w:r>
    </w:p>
    <w:p>
      <w:pPr>
        <w:pStyle w:val="56"/>
        <w:ind w:left="0" w:leftChars="0" w:firstLine="0" w:firstLineChars="0"/>
        <w:rPr>
          <w:rFonts w:hint="eastAsia"/>
          <w:highlight w:val="none"/>
          <w:lang w:eastAsia="zh-CN"/>
        </w:rPr>
      </w:pPr>
      <w:r>
        <w:rPr>
          <w:rFonts w:hint="eastAsia"/>
          <w:highlight w:val="none"/>
          <w:lang w:val="en-US" w:eastAsia="zh-CN"/>
        </w:rPr>
        <w:t xml:space="preserve">5.1.2 </w:t>
      </w:r>
      <w:r>
        <w:rPr>
          <w:rFonts w:hint="eastAsia"/>
          <w:highlight w:val="none"/>
        </w:rPr>
        <w:t>场站运行业绩指标评价周期</w:t>
      </w:r>
      <w:r>
        <w:rPr>
          <w:rFonts w:hint="eastAsia"/>
          <w:highlight w:val="none"/>
          <w:lang w:eastAsia="zh-CN"/>
        </w:rPr>
        <w:t>应</w:t>
      </w:r>
      <w:r>
        <w:rPr>
          <w:rFonts w:hint="eastAsia"/>
          <w:highlight w:val="none"/>
        </w:rPr>
        <w:t>以月为单位</w:t>
      </w:r>
      <w:r>
        <w:rPr>
          <w:rFonts w:hint="eastAsia"/>
          <w:highlight w:val="none"/>
          <w:lang w:eastAsia="zh-CN"/>
        </w:rPr>
        <w:t>进行统计，</w:t>
      </w:r>
      <w:r>
        <w:rPr>
          <w:rFonts w:hint="eastAsia"/>
          <w:highlight w:val="none"/>
        </w:rPr>
        <w:t>月度评价</w:t>
      </w:r>
      <w:r>
        <w:rPr>
          <w:rFonts w:hint="eastAsia"/>
          <w:highlight w:val="none"/>
          <w:lang w:eastAsia="zh-CN"/>
        </w:rPr>
        <w:t>工作宜从月头第</w:t>
      </w:r>
      <w:r>
        <w:rPr>
          <w:rFonts w:hint="eastAsia"/>
          <w:highlight w:val="none"/>
          <w:lang w:val="en-US" w:eastAsia="zh-CN"/>
        </w:rPr>
        <w:t>1天</w:t>
      </w:r>
      <w:r>
        <w:rPr>
          <w:rFonts w:hint="eastAsia"/>
          <w:highlight w:val="none"/>
        </w:rPr>
        <w:t>至</w:t>
      </w:r>
      <w:r>
        <w:rPr>
          <w:rFonts w:hint="eastAsia"/>
          <w:highlight w:val="none"/>
          <w:lang w:eastAsia="zh-CN"/>
        </w:rPr>
        <w:t>月末最后</w:t>
      </w:r>
      <w:r>
        <w:rPr>
          <w:rFonts w:hint="eastAsia"/>
          <w:highlight w:val="none"/>
          <w:lang w:val="en-US" w:eastAsia="zh-CN"/>
        </w:rPr>
        <w:t>1天进行</w:t>
      </w:r>
      <w:r>
        <w:rPr>
          <w:rFonts w:hint="eastAsia"/>
          <w:highlight w:val="none"/>
          <w:lang w:eastAsia="zh-CN"/>
        </w:rPr>
        <w:t>。</w:t>
      </w:r>
    </w:p>
    <w:p>
      <w:pPr>
        <w:pStyle w:val="56"/>
        <w:ind w:left="0" w:leftChars="0" w:firstLine="0" w:firstLineChars="0"/>
        <w:rPr>
          <w:rFonts w:hint="default" w:eastAsia="宋体"/>
          <w:lang w:val="en-US" w:eastAsia="zh-CN"/>
        </w:rPr>
      </w:pPr>
      <w:r>
        <w:rPr>
          <w:rFonts w:hint="eastAsia"/>
          <w:highlight w:val="none"/>
          <w:lang w:val="en-US" w:eastAsia="zh-CN"/>
        </w:rPr>
        <w:t xml:space="preserve">5.1.3 </w:t>
      </w:r>
      <w:r>
        <w:rPr>
          <w:rFonts w:hint="eastAsia"/>
          <w:highlight w:val="none"/>
        </w:rPr>
        <w:t>各区域</w:t>
      </w:r>
      <w:r>
        <w:rPr>
          <w:rFonts w:hint="eastAsia"/>
          <w:highlight w:val="none"/>
          <w:lang w:eastAsia="zh-CN"/>
        </w:rPr>
        <w:t>应于</w:t>
      </w:r>
      <w:r>
        <w:rPr>
          <w:rFonts w:hint="eastAsia"/>
          <w:highlight w:val="none"/>
        </w:rPr>
        <w:t>次月1日</w:t>
      </w:r>
      <w:r>
        <w:rPr>
          <w:rFonts w:hint="eastAsia"/>
          <w:highlight w:val="none"/>
          <w:lang w:eastAsia="zh-CN"/>
        </w:rPr>
        <w:t>向上级单位</w:t>
      </w:r>
      <w:r>
        <w:rPr>
          <w:rFonts w:hint="eastAsia"/>
          <w:highlight w:val="none"/>
        </w:rPr>
        <w:t>上报</w:t>
      </w:r>
      <w:r>
        <w:rPr>
          <w:rFonts w:hint="eastAsia"/>
        </w:rPr>
        <w:t>场站运行业绩指标评价汇总表（</w:t>
      </w:r>
      <w:r>
        <w:rPr>
          <w:rFonts w:hint="eastAsia"/>
          <w:lang w:eastAsia="zh-CN"/>
        </w:rPr>
        <w:t>见</w:t>
      </w:r>
      <w:r>
        <w:rPr>
          <w:rFonts w:hint="eastAsia"/>
        </w:rPr>
        <w:t>附</w:t>
      </w:r>
      <w:r>
        <w:rPr>
          <w:rFonts w:hint="eastAsia"/>
          <w:lang w:eastAsia="zh-CN"/>
        </w:rPr>
        <w:t>录</w:t>
      </w:r>
      <w:r>
        <w:rPr>
          <w:rFonts w:hint="eastAsia"/>
          <w:lang w:val="en-US" w:eastAsia="zh-CN"/>
        </w:rPr>
        <w:t>A</w:t>
      </w:r>
      <w:r>
        <w:rPr>
          <w:rFonts w:hint="eastAsia"/>
        </w:rPr>
        <w:t>）和场站运行业绩指标分析报告（</w:t>
      </w:r>
      <w:r>
        <w:rPr>
          <w:rFonts w:hint="eastAsia"/>
          <w:lang w:eastAsia="zh-CN"/>
        </w:rPr>
        <w:t>见</w:t>
      </w:r>
      <w:r>
        <w:rPr>
          <w:rFonts w:hint="eastAsia"/>
        </w:rPr>
        <w:t>附</w:t>
      </w:r>
      <w:r>
        <w:rPr>
          <w:rFonts w:hint="eastAsia"/>
          <w:lang w:eastAsia="zh-CN"/>
        </w:rPr>
        <w:t>录</w:t>
      </w:r>
      <w:r>
        <w:rPr>
          <w:rFonts w:hint="eastAsia"/>
          <w:lang w:val="en-US" w:eastAsia="zh-CN"/>
        </w:rPr>
        <w:t>B</w:t>
      </w:r>
      <w:r>
        <w:rPr>
          <w:rFonts w:hint="eastAsia"/>
        </w:rPr>
        <w:t>）。</w:t>
      </w:r>
    </w:p>
    <w:p>
      <w:pPr>
        <w:pStyle w:val="105"/>
        <w:spacing w:before="156" w:after="156"/>
        <w:rPr>
          <w:rFonts w:hint="eastAsia"/>
        </w:rPr>
      </w:pPr>
      <w:bookmarkStart w:id="54" w:name="_Toc4340"/>
      <w:r>
        <w:rPr>
          <w:rFonts w:hint="eastAsia"/>
          <w:lang w:val="en-US" w:eastAsia="zh-CN"/>
        </w:rPr>
        <w:t>评价方法</w:t>
      </w:r>
      <w:bookmarkEnd w:id="54"/>
    </w:p>
    <w:p>
      <w:pPr>
        <w:rPr>
          <w:rFonts w:hint="eastAsia" w:eastAsia="宋体"/>
          <w:lang w:eastAsia="zh-CN"/>
        </w:rPr>
      </w:pPr>
      <w:r>
        <w:rPr>
          <w:rFonts w:hint="eastAsia"/>
          <w:lang w:val="en-US" w:eastAsia="zh-CN"/>
        </w:rPr>
        <w:t>5</w:t>
      </w:r>
      <w:r>
        <w:rPr>
          <w:rFonts w:hint="eastAsia"/>
        </w:rPr>
        <w:t>.</w:t>
      </w:r>
      <w:r>
        <w:rPr>
          <w:rFonts w:hint="eastAsia"/>
          <w:lang w:val="en-US" w:eastAsia="zh-CN"/>
        </w:rPr>
        <w:t>2</w:t>
      </w:r>
      <w:r>
        <w:rPr>
          <w:rFonts w:hint="eastAsia"/>
        </w:rPr>
        <w:t>.</w:t>
      </w:r>
      <w:r>
        <w:t>1</w:t>
      </w:r>
      <w:r>
        <w:rPr>
          <w:rFonts w:hint="eastAsia"/>
        </w:rPr>
        <w:t xml:space="preserve"> 评价</w:t>
      </w:r>
      <w:r>
        <w:rPr>
          <w:rFonts w:hint="eastAsia"/>
          <w:lang w:val="en-US" w:eastAsia="zh-CN"/>
        </w:rPr>
        <w:t>维度</w:t>
      </w:r>
    </w:p>
    <w:p>
      <w:pPr>
        <w:ind w:firstLine="420" w:firstLineChars="200"/>
        <w:rPr>
          <w:rFonts w:hint="eastAsia"/>
          <w:highlight w:val="none"/>
        </w:rPr>
      </w:pPr>
      <w:r>
        <w:rPr>
          <w:rFonts w:hint="eastAsia"/>
        </w:rPr>
        <w:t>风力发电场站运行业绩</w:t>
      </w:r>
      <w:r>
        <w:rPr>
          <w:rFonts w:hint="eastAsia"/>
          <w:highlight w:val="none"/>
        </w:rPr>
        <w:t>指标</w:t>
      </w:r>
      <w:r>
        <w:rPr>
          <w:rFonts w:hint="eastAsia"/>
          <w:highlight w:val="none"/>
          <w:lang w:eastAsia="zh-CN"/>
        </w:rPr>
        <w:t>从总部、区域、场站</w:t>
      </w:r>
      <w:r>
        <w:rPr>
          <w:rFonts w:hint="eastAsia"/>
          <w:highlight w:val="none"/>
          <w:lang w:val="en-US" w:eastAsia="zh-CN"/>
        </w:rPr>
        <w:t>3个维度进行</w:t>
      </w:r>
      <w:r>
        <w:rPr>
          <w:rFonts w:hint="eastAsia"/>
          <w:highlight w:val="none"/>
          <w:lang w:eastAsia="zh-CN"/>
        </w:rPr>
        <w:t>评价。</w:t>
      </w:r>
      <w:r>
        <w:rPr>
          <w:rFonts w:hint="eastAsia"/>
          <w:highlight w:val="none"/>
        </w:rPr>
        <w:t>总部按照运行业绩指标</w:t>
      </w:r>
      <w:r>
        <w:rPr>
          <w:rFonts w:hint="eastAsia"/>
          <w:highlight w:val="none"/>
          <w:lang w:eastAsia="zh-CN"/>
        </w:rPr>
        <w:t>对所辖</w:t>
      </w:r>
      <w:r>
        <w:rPr>
          <w:rFonts w:hint="eastAsia"/>
          <w:highlight w:val="none"/>
        </w:rPr>
        <w:t>区域</w:t>
      </w:r>
      <w:r>
        <w:rPr>
          <w:rFonts w:hint="eastAsia"/>
          <w:highlight w:val="none"/>
          <w:lang w:eastAsia="zh-CN"/>
        </w:rPr>
        <w:t>进行</w:t>
      </w:r>
      <w:r>
        <w:rPr>
          <w:rFonts w:hint="eastAsia"/>
          <w:highlight w:val="none"/>
        </w:rPr>
        <w:t>评价，区域按照运行业绩指标</w:t>
      </w:r>
      <w:r>
        <w:rPr>
          <w:rFonts w:hint="eastAsia"/>
          <w:highlight w:val="none"/>
          <w:lang w:eastAsia="zh-CN"/>
        </w:rPr>
        <w:t>对所辖</w:t>
      </w:r>
      <w:r>
        <w:rPr>
          <w:rFonts w:hint="eastAsia"/>
          <w:highlight w:val="none"/>
        </w:rPr>
        <w:t>场站</w:t>
      </w:r>
      <w:r>
        <w:rPr>
          <w:rFonts w:hint="eastAsia"/>
          <w:highlight w:val="none"/>
          <w:lang w:eastAsia="zh-CN"/>
        </w:rPr>
        <w:t>进行</w:t>
      </w:r>
      <w:r>
        <w:rPr>
          <w:rFonts w:hint="eastAsia"/>
          <w:highlight w:val="none"/>
        </w:rPr>
        <w:t>评价</w:t>
      </w:r>
      <w:r>
        <w:rPr>
          <w:rFonts w:hint="eastAsia"/>
          <w:highlight w:val="none"/>
          <w:lang w:eastAsia="zh-CN"/>
        </w:rPr>
        <w:t>，</w:t>
      </w:r>
      <w:r>
        <w:rPr>
          <w:rFonts w:hint="eastAsia"/>
          <w:highlight w:val="none"/>
        </w:rPr>
        <w:t>场站根据运行业绩指标偏差分析设备状态。</w:t>
      </w:r>
    </w:p>
    <w:p>
      <w:pPr>
        <w:jc w:val="center"/>
        <w:rPr>
          <w:highlight w:val="none"/>
        </w:rPr>
      </w:pPr>
      <w:r>
        <w:rPr>
          <w:rFonts w:hint="eastAsia"/>
          <w:highlight w:val="none"/>
        </w:rPr>
        <w:t>表1 场站运行业绩指标评价维度</w:t>
      </w:r>
    </w:p>
    <w:tbl>
      <w:tblPr>
        <w:tblStyle w:val="26"/>
        <w:tblW w:w="4817" w:type="pct"/>
        <w:jc w:val="center"/>
        <w:tblLayout w:type="autofit"/>
        <w:tblCellMar>
          <w:top w:w="0" w:type="dxa"/>
          <w:left w:w="108" w:type="dxa"/>
          <w:bottom w:w="0" w:type="dxa"/>
          <w:right w:w="108" w:type="dxa"/>
        </w:tblCellMar>
      </w:tblPr>
      <w:tblGrid>
        <w:gridCol w:w="875"/>
        <w:gridCol w:w="983"/>
        <w:gridCol w:w="1002"/>
        <w:gridCol w:w="1060"/>
        <w:gridCol w:w="3471"/>
        <w:gridCol w:w="769"/>
        <w:gridCol w:w="1060"/>
      </w:tblGrid>
      <w:tr>
        <w:tblPrEx>
          <w:tblCellMar>
            <w:top w:w="0" w:type="dxa"/>
            <w:left w:w="108" w:type="dxa"/>
            <w:bottom w:w="0" w:type="dxa"/>
            <w:right w:w="108" w:type="dxa"/>
          </w:tblCellMar>
        </w:tblPrEx>
        <w:trPr>
          <w:trHeight w:val="315" w:hRule="atLeast"/>
          <w:tblHeader/>
          <w:jc w:val="center"/>
        </w:trPr>
        <w:tc>
          <w:tcPr>
            <w:tcW w:w="1551" w:type="pct"/>
            <w:gridSpan w:val="3"/>
            <w:tcBorders>
              <w:top w:val="single" w:color="000000" w:sz="8" w:space="0"/>
              <w:left w:val="single" w:color="000000" w:sz="8" w:space="0"/>
              <w:bottom w:val="single" w:color="000000" w:sz="8" w:space="0"/>
              <w:right w:val="single" w:color="000000" w:sz="8" w:space="0"/>
            </w:tcBorders>
            <w:noWrap/>
            <w:vAlign w:val="center"/>
          </w:tcPr>
          <w:p>
            <w:pPr>
              <w:widowControl/>
              <w:spacing w:line="0" w:lineRule="atLeast"/>
              <w:jc w:val="center"/>
              <w:textAlignment w:val="center"/>
              <w:rPr>
                <w:rFonts w:ascii="宋体" w:hAnsi="宋体"/>
                <w:b/>
                <w:bCs/>
              </w:rPr>
            </w:pPr>
            <w:r>
              <w:rPr>
                <w:rFonts w:hint="eastAsia" w:ascii="宋体" w:hAnsi="宋体"/>
                <w:b/>
                <w:bCs/>
                <w:kern w:val="0"/>
              </w:rPr>
              <w:t>维度</w:t>
            </w:r>
          </w:p>
        </w:tc>
        <w:tc>
          <w:tcPr>
            <w:tcW w:w="574" w:type="pct"/>
            <w:vMerge w:val="restart"/>
            <w:tcBorders>
              <w:top w:val="single" w:color="000000" w:sz="8" w:space="0"/>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b/>
                <w:bCs/>
              </w:rPr>
            </w:pPr>
            <w:r>
              <w:rPr>
                <w:rFonts w:hint="eastAsia" w:ascii="宋体" w:hAnsi="宋体"/>
                <w:b/>
                <w:bCs/>
                <w:kern w:val="0"/>
              </w:rPr>
              <w:t>指标分类</w:t>
            </w:r>
          </w:p>
        </w:tc>
        <w:tc>
          <w:tcPr>
            <w:tcW w:w="1881" w:type="pct"/>
            <w:vMerge w:val="restart"/>
            <w:tcBorders>
              <w:top w:val="single" w:color="000000" w:sz="8" w:space="0"/>
              <w:left w:val="nil"/>
              <w:bottom w:val="single" w:color="000000" w:sz="8" w:space="0"/>
              <w:right w:val="single" w:color="000000" w:sz="8" w:space="0"/>
            </w:tcBorders>
            <w:vAlign w:val="center"/>
          </w:tcPr>
          <w:p>
            <w:pPr>
              <w:widowControl/>
              <w:spacing w:line="0" w:lineRule="atLeast"/>
              <w:jc w:val="center"/>
              <w:textAlignment w:val="center"/>
              <w:rPr>
                <w:rFonts w:ascii="宋体" w:hAnsi="宋体"/>
                <w:b/>
                <w:bCs/>
              </w:rPr>
            </w:pPr>
            <w:r>
              <w:rPr>
                <w:rFonts w:hint="eastAsia" w:ascii="宋体" w:hAnsi="宋体"/>
                <w:b/>
                <w:bCs/>
                <w:kern w:val="0"/>
              </w:rPr>
              <w:t>指标</w:t>
            </w:r>
          </w:p>
        </w:tc>
        <w:tc>
          <w:tcPr>
            <w:tcW w:w="417" w:type="pct"/>
            <w:vMerge w:val="restart"/>
            <w:tcBorders>
              <w:top w:val="single" w:color="000000" w:sz="8" w:space="0"/>
              <w:left w:val="nil"/>
              <w:bottom w:val="single" w:color="000000" w:sz="8" w:space="0"/>
              <w:right w:val="single" w:color="000000" w:sz="8" w:space="0"/>
            </w:tcBorders>
            <w:vAlign w:val="center"/>
          </w:tcPr>
          <w:p>
            <w:pPr>
              <w:widowControl/>
              <w:spacing w:line="0" w:lineRule="atLeast"/>
              <w:jc w:val="center"/>
              <w:textAlignment w:val="center"/>
              <w:rPr>
                <w:rFonts w:ascii="宋体" w:hAnsi="宋体"/>
                <w:b/>
                <w:bCs/>
                <w:highlight w:val="none"/>
              </w:rPr>
            </w:pPr>
            <w:r>
              <w:rPr>
                <w:rFonts w:hint="eastAsia" w:ascii="宋体" w:hAnsi="宋体"/>
                <w:b/>
                <w:bCs/>
                <w:kern w:val="0"/>
                <w:highlight w:val="none"/>
              </w:rPr>
              <w:t>权重</w:t>
            </w:r>
          </w:p>
        </w:tc>
        <w:tc>
          <w:tcPr>
            <w:tcW w:w="574" w:type="pct"/>
            <w:vMerge w:val="restart"/>
            <w:tcBorders>
              <w:top w:val="single" w:color="000000" w:sz="8" w:space="0"/>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b/>
                <w:bCs/>
                <w:highlight w:val="none"/>
              </w:rPr>
            </w:pPr>
            <w:r>
              <w:rPr>
                <w:rFonts w:hint="eastAsia" w:ascii="宋体" w:hAnsi="宋体"/>
                <w:b/>
                <w:bCs/>
                <w:kern w:val="0"/>
                <w:highlight w:val="none"/>
              </w:rPr>
              <w:t>评价方式</w:t>
            </w:r>
          </w:p>
        </w:tc>
      </w:tr>
      <w:tr>
        <w:tblPrEx>
          <w:tblCellMar>
            <w:top w:w="0" w:type="dxa"/>
            <w:left w:w="108" w:type="dxa"/>
            <w:bottom w:w="0" w:type="dxa"/>
            <w:right w:w="108" w:type="dxa"/>
          </w:tblCellMar>
        </w:tblPrEx>
        <w:trPr>
          <w:trHeight w:val="315" w:hRule="atLeast"/>
          <w:tblHeader/>
          <w:jc w:val="center"/>
        </w:trPr>
        <w:tc>
          <w:tcPr>
            <w:tcW w:w="475" w:type="pct"/>
            <w:tcBorders>
              <w:top w:val="nil"/>
              <w:left w:val="single" w:color="000000" w:sz="8" w:space="0"/>
              <w:bottom w:val="single" w:color="000000" w:sz="8" w:space="0"/>
              <w:right w:val="single" w:color="000000" w:sz="8" w:space="0"/>
            </w:tcBorders>
            <w:noWrap/>
            <w:vAlign w:val="center"/>
          </w:tcPr>
          <w:p>
            <w:pPr>
              <w:widowControl/>
              <w:spacing w:line="0" w:lineRule="atLeast"/>
              <w:jc w:val="center"/>
              <w:textAlignment w:val="center"/>
              <w:rPr>
                <w:rFonts w:ascii="宋体" w:hAnsi="宋体"/>
                <w:b/>
                <w:bCs/>
              </w:rPr>
            </w:pPr>
            <w:r>
              <w:rPr>
                <w:rFonts w:hint="eastAsia" w:ascii="宋体" w:hAnsi="宋体"/>
                <w:b/>
                <w:bCs/>
                <w:kern w:val="0"/>
              </w:rPr>
              <w:t>总部</w:t>
            </w:r>
          </w:p>
        </w:tc>
        <w:tc>
          <w:tcPr>
            <w:tcW w:w="533"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b/>
                <w:bCs/>
              </w:rPr>
            </w:pPr>
            <w:r>
              <w:rPr>
                <w:rFonts w:hint="eastAsia" w:ascii="宋体" w:hAnsi="宋体"/>
                <w:b/>
                <w:bCs/>
                <w:kern w:val="0"/>
              </w:rPr>
              <w:t>区域</w:t>
            </w:r>
          </w:p>
        </w:tc>
        <w:tc>
          <w:tcPr>
            <w:tcW w:w="543"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b/>
                <w:bCs/>
              </w:rPr>
            </w:pPr>
            <w:r>
              <w:rPr>
                <w:rFonts w:hint="eastAsia" w:ascii="宋体" w:hAnsi="宋体"/>
                <w:b/>
                <w:bCs/>
                <w:kern w:val="0"/>
              </w:rPr>
              <w:t>场站</w:t>
            </w:r>
          </w:p>
        </w:tc>
        <w:tc>
          <w:tcPr>
            <w:tcW w:w="574" w:type="pct"/>
            <w:vMerge w:val="continue"/>
            <w:tcBorders>
              <w:top w:val="single" w:color="000000" w:sz="8" w:space="0"/>
              <w:left w:val="nil"/>
              <w:bottom w:val="single" w:color="000000" w:sz="8" w:space="0"/>
              <w:right w:val="single" w:color="000000" w:sz="8" w:space="0"/>
            </w:tcBorders>
            <w:vAlign w:val="center"/>
          </w:tcPr>
          <w:p>
            <w:pPr>
              <w:widowControl/>
              <w:spacing w:line="0" w:lineRule="atLeast"/>
              <w:jc w:val="center"/>
              <w:rPr>
                <w:rFonts w:ascii="宋体" w:hAnsi="宋体"/>
                <w:b/>
                <w:bCs/>
              </w:rPr>
            </w:pPr>
          </w:p>
        </w:tc>
        <w:tc>
          <w:tcPr>
            <w:tcW w:w="1881" w:type="pct"/>
            <w:vMerge w:val="continue"/>
            <w:tcBorders>
              <w:top w:val="single" w:color="000000" w:sz="8" w:space="0"/>
              <w:left w:val="nil"/>
              <w:bottom w:val="single" w:color="000000" w:sz="8" w:space="0"/>
              <w:right w:val="single" w:color="000000" w:sz="8" w:space="0"/>
            </w:tcBorders>
            <w:vAlign w:val="center"/>
          </w:tcPr>
          <w:p>
            <w:pPr>
              <w:widowControl/>
              <w:spacing w:line="0" w:lineRule="atLeast"/>
              <w:jc w:val="center"/>
              <w:rPr>
                <w:rFonts w:ascii="宋体" w:hAnsi="宋体"/>
                <w:b/>
                <w:bCs/>
              </w:rPr>
            </w:pPr>
          </w:p>
        </w:tc>
        <w:tc>
          <w:tcPr>
            <w:tcW w:w="417" w:type="pct"/>
            <w:vMerge w:val="continue"/>
            <w:tcBorders>
              <w:top w:val="single" w:color="000000" w:sz="8" w:space="0"/>
              <w:left w:val="nil"/>
              <w:bottom w:val="single" w:color="000000" w:sz="8" w:space="0"/>
              <w:right w:val="single" w:color="000000" w:sz="8" w:space="0"/>
            </w:tcBorders>
            <w:vAlign w:val="center"/>
          </w:tcPr>
          <w:p>
            <w:pPr>
              <w:widowControl/>
              <w:spacing w:line="0" w:lineRule="atLeast"/>
              <w:jc w:val="center"/>
              <w:rPr>
                <w:rFonts w:ascii="宋体" w:hAnsi="宋体"/>
                <w:b/>
                <w:bCs/>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pPr>
              <w:widowControl/>
              <w:spacing w:line="0" w:lineRule="atLeast"/>
              <w:jc w:val="center"/>
              <w:rPr>
                <w:rFonts w:ascii="宋体" w:hAnsi="宋体"/>
                <w:b/>
                <w:bCs/>
                <w:highlight w:val="none"/>
              </w:rPr>
            </w:pPr>
          </w:p>
        </w:tc>
      </w:tr>
      <w:tr>
        <w:tblPrEx>
          <w:tblCellMar>
            <w:top w:w="0" w:type="dxa"/>
            <w:left w:w="108" w:type="dxa"/>
            <w:bottom w:w="0" w:type="dxa"/>
            <w:right w:w="108" w:type="dxa"/>
          </w:tblCellMar>
        </w:tblPrEx>
        <w:trPr>
          <w:trHeight w:val="397" w:hRule="atLeast"/>
          <w:jc w:val="center"/>
        </w:trPr>
        <w:tc>
          <w:tcPr>
            <w:tcW w:w="475" w:type="pct"/>
            <w:vMerge w:val="restart"/>
            <w:tcBorders>
              <w:top w:val="nil"/>
              <w:left w:val="single" w:color="000000" w:sz="8" w:space="0"/>
              <w:bottom w:val="single" w:color="000000" w:sz="8" w:space="0"/>
              <w:right w:val="single" w:color="000000" w:sz="8" w:space="0"/>
            </w:tcBorders>
            <w:vAlign w:val="center"/>
          </w:tcPr>
          <w:p>
            <w:pPr>
              <w:widowControl/>
              <w:spacing w:line="0" w:lineRule="atLeast"/>
              <w:jc w:val="center"/>
              <w:textAlignment w:val="center"/>
              <w:rPr>
                <w:rFonts w:ascii="宋体" w:hAnsi="宋体"/>
              </w:rPr>
            </w:pPr>
            <w:r>
              <w:rPr>
                <w:rFonts w:hint="eastAsia" w:ascii="宋体" w:hAnsi="宋体"/>
                <w:kern w:val="0"/>
              </w:rPr>
              <w:t>按区域</w:t>
            </w:r>
          </w:p>
        </w:tc>
        <w:tc>
          <w:tcPr>
            <w:tcW w:w="533" w:type="pct"/>
            <w:vMerge w:val="restart"/>
            <w:tcBorders>
              <w:top w:val="nil"/>
              <w:left w:val="nil"/>
              <w:bottom w:val="single" w:color="000000" w:sz="8" w:space="0"/>
              <w:right w:val="single" w:color="000000" w:sz="8" w:space="0"/>
            </w:tcBorders>
            <w:vAlign w:val="center"/>
          </w:tcPr>
          <w:p>
            <w:pPr>
              <w:widowControl/>
              <w:spacing w:line="0" w:lineRule="atLeast"/>
              <w:jc w:val="center"/>
              <w:textAlignment w:val="center"/>
              <w:rPr>
                <w:rFonts w:ascii="宋体" w:hAnsi="宋体"/>
              </w:rPr>
            </w:pPr>
            <w:r>
              <w:rPr>
                <w:rFonts w:hint="eastAsia" w:ascii="宋体" w:hAnsi="宋体"/>
                <w:kern w:val="0"/>
              </w:rPr>
              <w:t>按场站</w:t>
            </w:r>
          </w:p>
        </w:tc>
        <w:tc>
          <w:tcPr>
            <w:tcW w:w="543" w:type="pct"/>
            <w:vMerge w:val="restart"/>
            <w:tcBorders>
              <w:top w:val="nil"/>
              <w:left w:val="nil"/>
              <w:bottom w:val="single" w:color="000000" w:sz="8" w:space="0"/>
              <w:right w:val="single" w:color="000000" w:sz="8" w:space="0"/>
            </w:tcBorders>
            <w:vAlign w:val="center"/>
          </w:tcPr>
          <w:p>
            <w:pPr>
              <w:widowControl/>
              <w:spacing w:line="0" w:lineRule="atLeast"/>
              <w:jc w:val="center"/>
              <w:textAlignment w:val="center"/>
              <w:rPr>
                <w:rFonts w:ascii="宋体" w:hAnsi="宋体"/>
              </w:rPr>
            </w:pPr>
            <w:r>
              <w:rPr>
                <w:rFonts w:hint="eastAsia" w:ascii="宋体" w:hAnsi="宋体"/>
                <w:kern w:val="0"/>
              </w:rPr>
              <w:t>按设备</w:t>
            </w:r>
          </w:p>
        </w:tc>
        <w:tc>
          <w:tcPr>
            <w:tcW w:w="574" w:type="pct"/>
            <w:vMerge w:val="restar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kern w:val="0"/>
              </w:rPr>
            </w:pPr>
            <w:r>
              <w:rPr>
                <w:rFonts w:hint="eastAsia" w:ascii="宋体" w:hAnsi="宋体"/>
                <w:kern w:val="0"/>
              </w:rPr>
              <w:t>安全性</w:t>
            </w:r>
          </w:p>
          <w:p>
            <w:pPr>
              <w:widowControl/>
              <w:spacing w:line="0" w:lineRule="atLeast"/>
              <w:jc w:val="center"/>
              <w:textAlignment w:val="center"/>
              <w:rPr>
                <w:rFonts w:ascii="宋体" w:hAnsi="宋体"/>
              </w:rPr>
            </w:pPr>
            <w:r>
              <w:rPr>
                <w:rFonts w:hint="eastAsia" w:ascii="宋体" w:hAnsi="宋体"/>
                <w:kern w:val="0"/>
              </w:rPr>
              <w:t>指标</w:t>
            </w: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rPr>
              <w:t>设备安全事故事件次数</w:t>
            </w:r>
            <w:r>
              <w:rPr>
                <w:rFonts w:ascii="宋体" w:hAnsi="宋体"/>
              </w:rPr>
              <w:t>TSAI</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按次扣分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rPr>
              <w:t>百公里设备跳闸次数</w:t>
            </w:r>
            <w:r>
              <w:rPr>
                <w:rFonts w:ascii="宋体" w:hAnsi="宋体"/>
              </w:rPr>
              <w:t>TTPHCL</w:t>
            </w:r>
          </w:p>
          <w:p>
            <w:pPr>
              <w:pStyle w:val="13"/>
              <w:spacing w:line="0" w:lineRule="atLeast"/>
              <w:jc w:val="center"/>
              <w:rPr>
                <w:rFonts w:ascii="宋体" w:hAnsi="宋体"/>
              </w:rPr>
            </w:pPr>
            <w:r>
              <w:rPr>
                <w:rFonts w:hint="eastAsia" w:ascii="宋体" w:hAnsi="宋体"/>
                <w:kern w:val="0"/>
              </w:rPr>
              <w:t>（按区域百公里次数扣分）</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restar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kern w:val="0"/>
              </w:rPr>
            </w:pPr>
            <w:r>
              <w:rPr>
                <w:rFonts w:hint="eastAsia" w:ascii="宋体" w:hAnsi="宋体"/>
                <w:kern w:val="0"/>
              </w:rPr>
              <w:t>可靠性</w:t>
            </w:r>
          </w:p>
          <w:p>
            <w:pPr>
              <w:widowControl/>
              <w:spacing w:line="0" w:lineRule="atLeast"/>
              <w:jc w:val="center"/>
              <w:textAlignment w:val="center"/>
              <w:rPr>
                <w:rFonts w:ascii="宋体" w:hAnsi="宋体"/>
              </w:rPr>
            </w:pPr>
            <w:r>
              <w:rPr>
                <w:rFonts w:hint="eastAsia" w:ascii="宋体" w:hAnsi="宋体"/>
                <w:kern w:val="0"/>
              </w:rPr>
              <w:t>指标</w:t>
            </w: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时间可利用率TBA</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绝对值</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平均无故障时间MT</w:t>
            </w:r>
            <w:r>
              <w:rPr>
                <w:rFonts w:ascii="宋体" w:hAnsi="宋体"/>
                <w:kern w:val="0"/>
              </w:rPr>
              <w:t>BF</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平均故障修复时间MT</w:t>
            </w:r>
            <w:r>
              <w:rPr>
                <w:rFonts w:ascii="宋体" w:hAnsi="宋体"/>
                <w:kern w:val="0"/>
              </w:rPr>
              <w:t>TR</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rPr>
              <w:t>单位台数大部件更换次数</w:t>
            </w:r>
            <w:r>
              <w:rPr>
                <w:rFonts w:ascii="宋体" w:hAnsi="宋体"/>
              </w:rPr>
              <w:t>KCRTPUQ</w:t>
            </w:r>
          </w:p>
          <w:p>
            <w:pPr>
              <w:pStyle w:val="13"/>
              <w:spacing w:line="0" w:lineRule="atLeast"/>
              <w:jc w:val="center"/>
              <w:rPr>
                <w:rFonts w:ascii="宋体" w:hAnsi="宋体"/>
              </w:rPr>
            </w:pPr>
            <w:r>
              <w:rPr>
                <w:rFonts w:hint="eastAsia" w:ascii="宋体" w:hAnsi="宋体"/>
                <w:kern w:val="0"/>
              </w:rPr>
              <w:t>（按区域百台次数扣分）</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rPr>
              <w:t>单位台数设备长停次数</w:t>
            </w:r>
            <w:r>
              <w:rPr>
                <w:rFonts w:ascii="宋体" w:hAnsi="宋体"/>
              </w:rPr>
              <w:t>LSTPUQ</w:t>
            </w:r>
          </w:p>
          <w:p>
            <w:pPr>
              <w:pStyle w:val="13"/>
              <w:spacing w:line="0" w:lineRule="atLeast"/>
              <w:jc w:val="center"/>
              <w:rPr>
                <w:rFonts w:ascii="宋体" w:hAnsi="宋体"/>
              </w:rPr>
            </w:pPr>
            <w:r>
              <w:rPr>
                <w:rFonts w:hint="eastAsia" w:ascii="宋体" w:hAnsi="宋体"/>
                <w:kern w:val="0"/>
              </w:rPr>
              <w:t>（按区域百台次数扣分）</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restar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kern w:val="0"/>
              </w:rPr>
            </w:pPr>
            <w:r>
              <w:rPr>
                <w:rFonts w:hint="eastAsia" w:ascii="宋体" w:hAnsi="宋体"/>
                <w:kern w:val="0"/>
              </w:rPr>
              <w:t>效能</w:t>
            </w:r>
          </w:p>
          <w:p>
            <w:pPr>
              <w:widowControl/>
              <w:spacing w:line="0" w:lineRule="atLeast"/>
              <w:jc w:val="center"/>
              <w:textAlignment w:val="center"/>
              <w:rPr>
                <w:rFonts w:ascii="宋体" w:hAnsi="宋体"/>
              </w:rPr>
            </w:pPr>
            <w:r>
              <w:rPr>
                <w:rFonts w:hint="eastAsia" w:ascii="宋体" w:hAnsi="宋体"/>
                <w:kern w:val="0"/>
              </w:rPr>
              <w:t>指标</w:t>
            </w: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等效小时数偏差</w:t>
            </w:r>
            <w:r>
              <w:rPr>
                <w:rFonts w:ascii="宋体" w:hAnsi="宋体"/>
                <w:kern w:val="0"/>
              </w:rPr>
              <w:t>DREH</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10</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能量可利用率EBA</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15</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环比</w:t>
            </w:r>
          </w:p>
        </w:tc>
      </w:tr>
      <w:tr>
        <w:tblPrEx>
          <w:tblCellMar>
            <w:top w:w="0" w:type="dxa"/>
            <w:left w:w="108" w:type="dxa"/>
            <w:bottom w:w="0" w:type="dxa"/>
            <w:right w:w="108" w:type="dxa"/>
          </w:tblCellMar>
        </w:tblPrEx>
        <w:trPr>
          <w:trHeight w:val="3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0" w:type="auto"/>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574" w:type="pct"/>
            <w:vMerge w:val="continue"/>
            <w:tcBorders>
              <w:top w:val="nil"/>
              <w:left w:val="nil"/>
              <w:bottom w:val="single" w:color="000000" w:sz="8" w:space="0"/>
              <w:right w:val="single" w:color="000000" w:sz="8" w:space="0"/>
            </w:tcBorders>
            <w:vAlign w:val="center"/>
          </w:tcPr>
          <w:p>
            <w:pPr>
              <w:widowControl/>
              <w:spacing w:line="0" w:lineRule="atLeast"/>
              <w:jc w:val="center"/>
              <w:rPr>
                <w:rFonts w:ascii="宋体" w:hAnsi="宋体"/>
              </w:rPr>
            </w:pPr>
          </w:p>
        </w:tc>
        <w:tc>
          <w:tcPr>
            <w:tcW w:w="1881"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rPr>
            </w:pPr>
            <w:r>
              <w:rPr>
                <w:rFonts w:hint="eastAsia" w:ascii="宋体" w:hAnsi="宋体"/>
                <w:kern w:val="0"/>
              </w:rPr>
              <w:t>综合场站用电率</w:t>
            </w:r>
            <w:r>
              <w:rPr>
                <w:rFonts w:ascii="宋体" w:hAnsi="宋体"/>
                <w:kern w:val="0"/>
              </w:rPr>
              <w:t>SECR</w:t>
            </w:r>
          </w:p>
        </w:tc>
        <w:tc>
          <w:tcPr>
            <w:tcW w:w="417"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5</w:t>
            </w:r>
          </w:p>
        </w:tc>
        <w:tc>
          <w:tcPr>
            <w:tcW w:w="574" w:type="pct"/>
            <w:tcBorders>
              <w:top w:val="nil"/>
              <w:left w:val="nil"/>
              <w:bottom w:val="single" w:color="000000" w:sz="8" w:space="0"/>
              <w:right w:val="single" w:color="000000" w:sz="8" w:space="0"/>
            </w:tcBorders>
            <w:noWrap/>
            <w:vAlign w:val="center"/>
          </w:tcPr>
          <w:p>
            <w:pPr>
              <w:widowControl/>
              <w:spacing w:line="0" w:lineRule="atLeast"/>
              <w:jc w:val="center"/>
              <w:textAlignment w:val="center"/>
              <w:rPr>
                <w:rFonts w:ascii="宋体" w:hAnsi="宋体"/>
                <w:highlight w:val="none"/>
              </w:rPr>
            </w:pPr>
            <w:r>
              <w:rPr>
                <w:rFonts w:hint="eastAsia" w:ascii="宋体" w:hAnsi="宋体"/>
                <w:kern w:val="0"/>
                <w:highlight w:val="none"/>
              </w:rPr>
              <w:t>排名赋分</w:t>
            </w:r>
          </w:p>
        </w:tc>
      </w:tr>
    </w:tbl>
    <w:p>
      <w:pPr>
        <w:rPr>
          <w:rFonts w:hint="eastAsia"/>
          <w:lang w:val="en-US" w:eastAsia="zh-CN"/>
        </w:rPr>
      </w:pPr>
      <w:r>
        <w:rPr>
          <w:rFonts w:hint="eastAsia"/>
          <w:lang w:val="en-US" w:eastAsia="zh-CN"/>
        </w:rPr>
        <w:t>5.2.2 评价流程</w:t>
      </w:r>
    </w:p>
    <w:p>
      <w:r>
        <w:rPr>
          <w:rFonts w:hint="eastAsia"/>
          <w:lang w:val="en-US" w:eastAsia="zh-CN"/>
        </w:rPr>
        <w:t>5</w:t>
      </w:r>
      <w:r>
        <w:t>.</w:t>
      </w:r>
      <w:r>
        <w:rPr>
          <w:rFonts w:hint="eastAsia"/>
          <w:lang w:val="en-US" w:eastAsia="zh-CN"/>
        </w:rPr>
        <w:t>2.</w:t>
      </w:r>
      <w:r>
        <w:t xml:space="preserve">2.1 </w:t>
      </w:r>
      <w:r>
        <w:rPr>
          <w:rFonts w:hint="eastAsia"/>
          <w:highlight w:val="none"/>
          <w:lang w:eastAsia="zh-CN"/>
        </w:rPr>
        <w:t>指标数据</w:t>
      </w:r>
      <w:r>
        <w:rPr>
          <w:rFonts w:hint="eastAsia"/>
          <w:highlight w:val="none"/>
        </w:rPr>
        <w:t>来源</w:t>
      </w:r>
    </w:p>
    <w:p>
      <w:pPr>
        <w:ind w:firstLine="420" w:firstLineChars="200"/>
        <w:rPr>
          <w:highlight w:val="none"/>
        </w:rPr>
      </w:pPr>
      <w:r>
        <w:t>a</w:t>
      </w:r>
      <w:r>
        <w:rPr>
          <w:rFonts w:hint="eastAsia"/>
        </w:rPr>
        <w:t>）安全事故事件次数，数据来源区域安全专工设备跳闸台账，总部</w:t>
      </w:r>
      <w:r>
        <w:rPr>
          <w:rFonts w:hint="eastAsia"/>
          <w:highlight w:val="none"/>
        </w:rPr>
        <w:t>安全生产中心核对。</w:t>
      </w:r>
    </w:p>
    <w:p>
      <w:pPr>
        <w:ind w:firstLine="420" w:firstLineChars="200"/>
        <w:rPr>
          <w:highlight w:val="none"/>
        </w:rPr>
      </w:pPr>
      <w:r>
        <w:rPr>
          <w:highlight w:val="none"/>
        </w:rPr>
        <w:t>b</w:t>
      </w:r>
      <w:r>
        <w:rPr>
          <w:rFonts w:hint="eastAsia"/>
          <w:highlight w:val="none"/>
        </w:rPr>
        <w:t>）百公里设备跳闸次数，数据来源区域安全专工设备跳闸台账，总部安全生产中心核对。</w:t>
      </w:r>
    </w:p>
    <w:p>
      <w:pPr>
        <w:ind w:firstLine="420" w:firstLineChars="200"/>
        <w:rPr>
          <w:highlight w:val="none"/>
        </w:rPr>
      </w:pPr>
      <w:r>
        <w:rPr>
          <w:highlight w:val="none"/>
        </w:rPr>
        <w:t>c</w:t>
      </w:r>
      <w:r>
        <w:rPr>
          <w:rFonts w:hint="eastAsia"/>
          <w:highlight w:val="none"/>
        </w:rPr>
        <w:t>）TBA，数据来源集控中心。</w:t>
      </w:r>
    </w:p>
    <w:p>
      <w:pPr>
        <w:ind w:firstLine="420" w:firstLineChars="200"/>
        <w:rPr>
          <w:highlight w:val="none"/>
        </w:rPr>
      </w:pPr>
      <w:r>
        <w:rPr>
          <w:highlight w:val="none"/>
        </w:rPr>
        <w:t>d</w:t>
      </w:r>
      <w:r>
        <w:rPr>
          <w:rFonts w:hint="eastAsia"/>
          <w:highlight w:val="none"/>
        </w:rPr>
        <w:t>）MTTR，数据来源优先采用故障管理系统，次选集控中心。</w:t>
      </w:r>
    </w:p>
    <w:p>
      <w:pPr>
        <w:ind w:firstLine="420" w:firstLineChars="200"/>
        <w:rPr>
          <w:highlight w:val="none"/>
        </w:rPr>
      </w:pPr>
      <w:r>
        <w:rPr>
          <w:highlight w:val="none"/>
        </w:rPr>
        <w:t>e</w:t>
      </w:r>
      <w:r>
        <w:rPr>
          <w:rFonts w:hint="eastAsia"/>
          <w:highlight w:val="none"/>
        </w:rPr>
        <w:t>）MTBF，数据来源优先采用故障管理系统，次选集控中心。</w:t>
      </w:r>
    </w:p>
    <w:p>
      <w:pPr>
        <w:ind w:firstLine="420" w:firstLineChars="200"/>
        <w:rPr>
          <w:highlight w:val="none"/>
        </w:rPr>
      </w:pPr>
      <w:r>
        <w:rPr>
          <w:highlight w:val="none"/>
        </w:rPr>
        <w:t>f</w:t>
      </w:r>
      <w:r>
        <w:rPr>
          <w:rFonts w:hint="eastAsia"/>
          <w:highlight w:val="none"/>
        </w:rPr>
        <w:t>）单位容量大部件更换次数，数据来源分公司检修管理专工检修月报提供，总部检修管理中心核对。</w:t>
      </w:r>
    </w:p>
    <w:p>
      <w:pPr>
        <w:ind w:firstLine="420" w:firstLineChars="200"/>
      </w:pPr>
      <w:r>
        <w:rPr>
          <w:highlight w:val="none"/>
        </w:rPr>
        <w:t>g</w:t>
      </w:r>
      <w:r>
        <w:rPr>
          <w:rFonts w:hint="eastAsia"/>
          <w:highlight w:val="none"/>
        </w:rPr>
        <w:t>）单位容量长停次数，数据来源分公司检修管理专工检修月报提供，总部检修管理中心</w:t>
      </w:r>
      <w:r>
        <w:rPr>
          <w:rFonts w:hint="eastAsia"/>
        </w:rPr>
        <w:t>核对。</w:t>
      </w:r>
    </w:p>
    <w:p>
      <w:pPr>
        <w:ind w:firstLine="420" w:firstLineChars="200"/>
      </w:pPr>
      <w:r>
        <w:t>h</w:t>
      </w:r>
      <w:r>
        <w:rPr>
          <w:rFonts w:hint="eastAsia"/>
        </w:rPr>
        <w:t>）等效小时数偏差，数据来源区域集控提供发电量，软件计算，运营管理中心核对。</w:t>
      </w:r>
    </w:p>
    <w:p>
      <w:pPr>
        <w:ind w:firstLine="420" w:firstLineChars="200"/>
      </w:pPr>
      <w:r>
        <w:t>i</w:t>
      </w:r>
      <w:r>
        <w:rPr>
          <w:rFonts w:hint="eastAsia"/>
        </w:rPr>
        <w:t>）EBA，数据来源集控导出EBA数据；若集控中心没有，导出功率曲线，通过软件计算，获得EBA的值。</w:t>
      </w:r>
    </w:p>
    <w:p>
      <w:pPr>
        <w:ind w:firstLine="420" w:firstLineChars="200"/>
      </w:pPr>
      <w:r>
        <w:t>j</w:t>
      </w:r>
      <w:r>
        <w:rPr>
          <w:rFonts w:hint="eastAsia"/>
        </w:rPr>
        <w:t>）综合场站用电率，数据来源中广核新能源报表系统导出月报，计算综合场用电率。</w:t>
      </w:r>
    </w:p>
    <w:p>
      <w:r>
        <w:rPr>
          <w:rFonts w:hint="eastAsia"/>
          <w:lang w:val="en-US" w:eastAsia="zh-CN"/>
        </w:rPr>
        <w:t>5</w:t>
      </w:r>
      <w:r>
        <w:t>.</w:t>
      </w:r>
      <w:r>
        <w:rPr>
          <w:rFonts w:hint="eastAsia"/>
          <w:lang w:val="en-US" w:eastAsia="zh-CN"/>
        </w:rPr>
        <w:t>2.</w:t>
      </w:r>
      <w:r>
        <w:t xml:space="preserve">2.2 </w:t>
      </w:r>
      <w:r>
        <w:rPr>
          <w:rFonts w:hint="eastAsia"/>
        </w:rPr>
        <w:t>评价报告</w:t>
      </w:r>
    </w:p>
    <w:p>
      <w:pPr>
        <w:ind w:firstLine="420" w:firstLineChars="200"/>
      </w:pPr>
      <w:r>
        <w:rPr>
          <w:rFonts w:hint="eastAsia"/>
        </w:rPr>
        <w:t>根据以上数据由区域运行业绩指标评价管理对接人完成月度场站运行业绩指标评价报告编制，并上报运维事业部设备场站运行业绩指标评价专项组。</w:t>
      </w:r>
    </w:p>
    <w:p>
      <w:pPr>
        <w:ind w:firstLine="420" w:firstLineChars="200"/>
        <w:rPr>
          <w:rFonts w:hint="eastAsia"/>
          <w:lang w:val="en-US" w:eastAsia="zh-CN"/>
        </w:rPr>
      </w:pPr>
      <w:r>
        <w:rPr>
          <w:rFonts w:hint="eastAsia"/>
        </w:rPr>
        <w:t>运维事业运行业绩指标评价专项组根据各区域上报的数据汇总表及月度场站运行业绩指标评价报告，完成公司设备场站运行业绩指标评价整体排名和报告编制，并下发到各区域，区域落实设备问题整改消缺。</w:t>
      </w:r>
    </w:p>
    <w:p>
      <w:pPr>
        <w:rPr>
          <w:rFonts w:hint="eastAsia"/>
          <w:lang w:val="en-US" w:eastAsia="zh-CN"/>
        </w:rPr>
      </w:pPr>
      <w:r>
        <w:rPr>
          <w:rFonts w:hint="eastAsia"/>
          <w:lang w:val="en-US" w:eastAsia="zh-CN"/>
        </w:rPr>
        <w:t>5.2.3 评价规则</w:t>
      </w:r>
    </w:p>
    <w:p>
      <w:pPr>
        <w:rPr>
          <w:rFonts w:hint="eastAsia"/>
          <w:highlight w:val="none"/>
          <w:lang w:val="en-US" w:eastAsia="zh-CN"/>
        </w:rPr>
      </w:pPr>
      <w:r>
        <w:rPr>
          <w:rFonts w:hint="eastAsia"/>
          <w:highlight w:val="none"/>
          <w:lang w:val="en-US" w:eastAsia="zh-CN"/>
        </w:rPr>
        <w:t>5.2.3.1指标权重</w:t>
      </w:r>
    </w:p>
    <w:p>
      <w:pPr>
        <w:ind w:firstLine="420" w:firstLineChars="200"/>
        <w:rPr>
          <w:rFonts w:hint="default"/>
          <w:highlight w:val="cyan"/>
          <w:lang w:val="en-US" w:eastAsia="zh-CN"/>
        </w:rPr>
      </w:pPr>
      <w:r>
        <w:rPr>
          <w:rFonts w:hint="eastAsia"/>
          <w:highlight w:val="none"/>
        </w:rPr>
        <w:t>场站运行业绩指标</w:t>
      </w:r>
      <w:r>
        <w:rPr>
          <w:rFonts w:hint="eastAsia"/>
          <w:highlight w:val="none"/>
          <w:lang w:eastAsia="zh-CN"/>
        </w:rPr>
        <w:t>中的</w:t>
      </w:r>
      <w:r>
        <w:rPr>
          <w:rFonts w:hint="eastAsia"/>
          <w:highlight w:val="none"/>
        </w:rPr>
        <w:t>安全性指标</w:t>
      </w:r>
      <w:r>
        <w:rPr>
          <w:rFonts w:hint="eastAsia"/>
          <w:highlight w:val="none"/>
          <w:lang w:eastAsia="zh-CN"/>
        </w:rPr>
        <w:t>的</w:t>
      </w:r>
      <w:r>
        <w:rPr>
          <w:rFonts w:hint="eastAsia"/>
          <w:highlight w:val="none"/>
        </w:rPr>
        <w:t>权重</w:t>
      </w:r>
      <w:r>
        <w:rPr>
          <w:rFonts w:hint="eastAsia"/>
          <w:highlight w:val="none"/>
          <w:lang w:eastAsia="zh-CN"/>
        </w:rPr>
        <w:t>设为</w:t>
      </w:r>
      <w:r>
        <w:rPr>
          <w:rFonts w:hint="eastAsia"/>
          <w:highlight w:val="none"/>
        </w:rPr>
        <w:t>20分、可靠性指标</w:t>
      </w:r>
      <w:r>
        <w:rPr>
          <w:rFonts w:hint="eastAsia"/>
          <w:highlight w:val="none"/>
          <w:lang w:eastAsia="zh-CN"/>
        </w:rPr>
        <w:t>的</w:t>
      </w:r>
      <w:r>
        <w:rPr>
          <w:rFonts w:hint="eastAsia"/>
          <w:highlight w:val="none"/>
        </w:rPr>
        <w:t>权重</w:t>
      </w:r>
      <w:r>
        <w:rPr>
          <w:rFonts w:hint="eastAsia"/>
          <w:highlight w:val="none"/>
          <w:lang w:eastAsia="zh-CN"/>
        </w:rPr>
        <w:t>设为</w:t>
      </w:r>
      <w:r>
        <w:rPr>
          <w:rFonts w:hint="eastAsia"/>
          <w:highlight w:val="none"/>
        </w:rPr>
        <w:t>50分、效能指标</w:t>
      </w:r>
      <w:r>
        <w:rPr>
          <w:rFonts w:hint="eastAsia"/>
          <w:highlight w:val="none"/>
          <w:lang w:eastAsia="zh-CN"/>
        </w:rPr>
        <w:t>的</w:t>
      </w:r>
      <w:r>
        <w:rPr>
          <w:rFonts w:hint="eastAsia"/>
          <w:highlight w:val="none"/>
        </w:rPr>
        <w:t>权重</w:t>
      </w:r>
      <w:r>
        <w:rPr>
          <w:rFonts w:hint="eastAsia"/>
          <w:highlight w:val="none"/>
          <w:lang w:eastAsia="zh-CN"/>
        </w:rPr>
        <w:t>设为</w:t>
      </w:r>
      <w:r>
        <w:rPr>
          <w:rFonts w:hint="eastAsia"/>
          <w:highlight w:val="none"/>
        </w:rPr>
        <w:t>30分</w:t>
      </w:r>
      <w:r>
        <w:rPr>
          <w:rFonts w:hint="eastAsia"/>
          <w:highlight w:val="none"/>
          <w:lang w:eastAsia="zh-CN"/>
        </w:rPr>
        <w:t>。</w:t>
      </w:r>
      <w:r>
        <w:rPr>
          <w:rFonts w:hint="eastAsia"/>
          <w:highlight w:val="none"/>
          <w:lang w:val="en-US" w:eastAsia="zh-CN"/>
        </w:rPr>
        <w:t>单项指标权重分配请见“表1 场站运行业绩指标评价维度”。</w:t>
      </w:r>
    </w:p>
    <w:p>
      <w:pPr>
        <w:rPr>
          <w:rFonts w:hint="default"/>
          <w:lang w:val="en-US" w:eastAsia="zh-CN"/>
        </w:rPr>
      </w:pPr>
      <w:r>
        <w:rPr>
          <w:rFonts w:hint="eastAsia"/>
          <w:lang w:val="en-US" w:eastAsia="zh-CN"/>
        </w:rPr>
        <w:t>5.2.3.2评价方式</w:t>
      </w:r>
    </w:p>
    <w:p>
      <w:pPr>
        <w:ind w:firstLine="420" w:firstLineChars="200"/>
        <w:rPr>
          <w:rFonts w:hint="eastAsia" w:eastAsia="宋体"/>
          <w:lang w:val="en-US" w:eastAsia="zh-CN"/>
        </w:rPr>
      </w:pPr>
      <w:r>
        <w:rPr>
          <w:rFonts w:hint="eastAsia"/>
        </w:rPr>
        <w:t>安全性指标、可靠性指标、效能指标按照单项指标和综合指标进行评价排名。总体按照按次扣分评价、绝对值评价、排名评价等方式进行赋分。优值不参与排名，赋满分；发生故障或者超过定限定值的场站进行排名；数据填写错误或者无数据赋0分。</w:t>
      </w:r>
    </w:p>
    <w:p>
      <w:pPr>
        <w:jc w:val="center"/>
        <w:rPr>
          <w:highlight w:val="none"/>
        </w:rPr>
      </w:pPr>
      <w:r>
        <w:rPr>
          <w:rFonts w:hint="eastAsia"/>
          <w:highlight w:val="none"/>
        </w:rPr>
        <w:t>表2 场站运行业绩指标评价方式</w:t>
      </w:r>
    </w:p>
    <w:tbl>
      <w:tblPr>
        <w:tblStyle w:val="26"/>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576"/>
        <w:gridCol w:w="1335"/>
        <w:gridCol w:w="148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3" w:type="dxa"/>
            <w:noWrap/>
            <w:vAlign w:val="center"/>
          </w:tcPr>
          <w:p>
            <w:pPr>
              <w:widowControl/>
              <w:spacing w:line="240" w:lineRule="auto"/>
              <w:jc w:val="center"/>
              <w:textAlignment w:val="center"/>
              <w:rPr>
                <w:rFonts w:ascii="宋体" w:hAnsi="宋体"/>
                <w:b/>
                <w:bCs/>
                <w:color w:val="000000"/>
              </w:rPr>
            </w:pPr>
            <w:r>
              <w:rPr>
                <w:rFonts w:hint="eastAsia" w:ascii="宋体" w:hAnsi="宋体"/>
                <w:b/>
                <w:bCs/>
                <w:color w:val="000000"/>
                <w:kern w:val="0"/>
              </w:rPr>
              <w:t>评价</w:t>
            </w:r>
          </w:p>
        </w:tc>
        <w:tc>
          <w:tcPr>
            <w:tcW w:w="3576" w:type="dxa"/>
            <w:noWrap/>
            <w:vAlign w:val="center"/>
          </w:tcPr>
          <w:p>
            <w:pPr>
              <w:widowControl/>
              <w:spacing w:line="240" w:lineRule="auto"/>
              <w:jc w:val="center"/>
              <w:textAlignment w:val="center"/>
              <w:rPr>
                <w:rFonts w:ascii="宋体" w:hAnsi="宋体"/>
                <w:b/>
                <w:bCs/>
                <w:color w:val="000000"/>
              </w:rPr>
            </w:pPr>
            <w:r>
              <w:rPr>
                <w:rFonts w:hint="eastAsia" w:ascii="宋体" w:hAnsi="宋体"/>
                <w:b/>
                <w:bCs/>
                <w:color w:val="000000"/>
                <w:kern w:val="0"/>
              </w:rPr>
              <w:t>范围</w:t>
            </w:r>
          </w:p>
        </w:tc>
        <w:tc>
          <w:tcPr>
            <w:tcW w:w="1335" w:type="dxa"/>
            <w:noWrap/>
            <w:vAlign w:val="center"/>
          </w:tcPr>
          <w:p>
            <w:pPr>
              <w:widowControl/>
              <w:spacing w:line="240" w:lineRule="auto"/>
              <w:jc w:val="center"/>
              <w:textAlignment w:val="center"/>
              <w:rPr>
                <w:rFonts w:ascii="宋体" w:hAnsi="宋体"/>
                <w:b/>
                <w:bCs/>
                <w:color w:val="000000"/>
              </w:rPr>
            </w:pPr>
            <w:r>
              <w:rPr>
                <w:rFonts w:hint="eastAsia" w:ascii="宋体" w:hAnsi="宋体"/>
                <w:b/>
                <w:bCs/>
                <w:color w:val="000000"/>
                <w:kern w:val="0"/>
              </w:rPr>
              <w:t>权重[0,5]</w:t>
            </w:r>
          </w:p>
        </w:tc>
        <w:tc>
          <w:tcPr>
            <w:tcW w:w="1485" w:type="dxa"/>
            <w:noWrap/>
            <w:vAlign w:val="center"/>
          </w:tcPr>
          <w:p>
            <w:pPr>
              <w:widowControl/>
              <w:spacing w:line="240" w:lineRule="auto"/>
              <w:jc w:val="center"/>
              <w:textAlignment w:val="center"/>
              <w:rPr>
                <w:rFonts w:ascii="宋体" w:hAnsi="宋体"/>
                <w:b/>
                <w:bCs/>
                <w:color w:val="000000"/>
              </w:rPr>
            </w:pPr>
            <w:r>
              <w:rPr>
                <w:rFonts w:hint="eastAsia" w:ascii="宋体" w:hAnsi="宋体"/>
                <w:b/>
                <w:bCs/>
                <w:color w:val="000000"/>
                <w:kern w:val="0"/>
              </w:rPr>
              <w:t>权重[0,10]</w:t>
            </w:r>
          </w:p>
        </w:tc>
        <w:tc>
          <w:tcPr>
            <w:tcW w:w="1485" w:type="dxa"/>
            <w:noWrap/>
            <w:vAlign w:val="center"/>
          </w:tcPr>
          <w:p>
            <w:pPr>
              <w:widowControl/>
              <w:spacing w:line="240" w:lineRule="auto"/>
              <w:jc w:val="center"/>
              <w:textAlignment w:val="center"/>
              <w:rPr>
                <w:rFonts w:ascii="宋体" w:hAnsi="宋体"/>
                <w:b/>
                <w:bCs/>
                <w:color w:val="000000"/>
              </w:rPr>
            </w:pPr>
            <w:r>
              <w:rPr>
                <w:rFonts w:hint="eastAsia" w:ascii="宋体" w:hAnsi="宋体"/>
                <w:b/>
                <w:bCs/>
                <w:color w:val="000000"/>
                <w:kern w:val="0"/>
              </w:rPr>
              <w:t>权重[0,15]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restart"/>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优值</w:t>
            </w: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设备安全事故事件次数=0</w:t>
            </w:r>
          </w:p>
        </w:tc>
        <w:tc>
          <w:tcPr>
            <w:tcW w:w="0" w:type="auto"/>
            <w:vMerge w:val="restart"/>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5</w:t>
            </w:r>
          </w:p>
        </w:tc>
        <w:tc>
          <w:tcPr>
            <w:tcW w:w="0" w:type="auto"/>
            <w:vMerge w:val="restart"/>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10</w:t>
            </w:r>
          </w:p>
        </w:tc>
        <w:tc>
          <w:tcPr>
            <w:tcW w:w="0" w:type="auto"/>
            <w:vMerge w:val="restart"/>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设备跳闸次数=0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TBA=100%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MTTR故障次数=0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MTBF故障次数=0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大部件更换次数=0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长停次数=0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等效小时数偏差率＞</w:t>
            </w:r>
            <w:r>
              <w:rPr>
                <w:rFonts w:ascii="宋体" w:hAnsi="宋体"/>
                <w:color w:val="000000"/>
                <w:kern w:val="0"/>
              </w:rPr>
              <w:t>0</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EBA＞</w:t>
            </w:r>
            <w:r>
              <w:rPr>
                <w:rFonts w:ascii="宋体" w:hAnsi="宋体"/>
                <w:color w:val="000000"/>
                <w:kern w:val="0"/>
              </w:rPr>
              <w:t>1</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综合场站用电率＜3%</w:t>
            </w: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c>
          <w:tcPr>
            <w:tcW w:w="0" w:type="auto"/>
            <w:vMerge w:val="continue"/>
            <w:vAlign w:val="center"/>
          </w:tcPr>
          <w:p>
            <w:pPr>
              <w:widowControl/>
              <w:spacing w:line="240" w:lineRule="auto"/>
              <w:jc w:val="lef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restart"/>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中值</w:t>
            </w:r>
          </w:p>
        </w:tc>
        <w:tc>
          <w:tcPr>
            <w:tcW w:w="3576" w:type="dxa"/>
            <w:noWrap/>
            <w:vAlign w:val="center"/>
          </w:tcPr>
          <w:p>
            <w:pPr>
              <w:widowControl/>
              <w:spacing w:line="240" w:lineRule="auto"/>
              <w:jc w:val="center"/>
              <w:textAlignment w:val="center"/>
              <w:rPr>
                <w:rFonts w:ascii="宋体" w:hAnsi="宋体"/>
                <w:color w:val="000000"/>
                <w:highlight w:val="none"/>
              </w:rPr>
            </w:pPr>
            <w:r>
              <w:rPr>
                <w:rFonts w:hint="eastAsia" w:ascii="宋体" w:hAnsi="宋体"/>
                <w:color w:val="000000"/>
                <w:kern w:val="0"/>
                <w:highlight w:val="none"/>
              </w:rPr>
              <w:t>X＞20%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4</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8</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highlight w:val="none"/>
              </w:rPr>
            </w:pPr>
            <w:r>
              <w:rPr>
                <w:rFonts w:hint="eastAsia" w:ascii="宋体" w:hAnsi="宋体"/>
                <w:color w:val="000000"/>
                <w:kern w:val="0"/>
                <w:highlight w:val="none"/>
              </w:rPr>
              <w:t>20%＜X≤40%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3</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6</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highlight w:val="none"/>
              </w:rPr>
            </w:pPr>
            <w:r>
              <w:rPr>
                <w:rFonts w:hint="eastAsia" w:ascii="宋体" w:hAnsi="宋体"/>
                <w:color w:val="000000"/>
                <w:kern w:val="0"/>
                <w:highlight w:val="none"/>
              </w:rPr>
              <w:t>60%＜X≤80%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2</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4</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vMerge w:val="continue"/>
            <w:vAlign w:val="center"/>
          </w:tcPr>
          <w:p>
            <w:pPr>
              <w:widowControl/>
              <w:spacing w:line="240" w:lineRule="auto"/>
              <w:jc w:val="left"/>
              <w:rPr>
                <w:rFonts w:ascii="宋体" w:hAnsi="宋体"/>
                <w:color w:val="000000"/>
              </w:rPr>
            </w:pPr>
          </w:p>
        </w:tc>
        <w:tc>
          <w:tcPr>
            <w:tcW w:w="3576" w:type="dxa"/>
            <w:noWrap/>
            <w:vAlign w:val="center"/>
          </w:tcPr>
          <w:p>
            <w:pPr>
              <w:widowControl/>
              <w:spacing w:line="240" w:lineRule="auto"/>
              <w:jc w:val="center"/>
              <w:textAlignment w:val="center"/>
              <w:rPr>
                <w:rFonts w:ascii="宋体" w:hAnsi="宋体"/>
                <w:color w:val="000000"/>
                <w:highlight w:val="none"/>
              </w:rPr>
            </w:pPr>
            <w:r>
              <w:rPr>
                <w:rFonts w:hint="eastAsia" w:ascii="宋体" w:hAnsi="宋体"/>
                <w:color w:val="000000"/>
                <w:kern w:val="0"/>
                <w:highlight w:val="none"/>
              </w:rPr>
              <w:t>60%＜X≤80%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1</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2</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dxa"/>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劣值</w:t>
            </w:r>
          </w:p>
        </w:tc>
        <w:tc>
          <w:tcPr>
            <w:tcW w:w="3576" w:type="dxa"/>
            <w:noWrap/>
            <w:vAlign w:val="center"/>
          </w:tcPr>
          <w:p>
            <w:pPr>
              <w:widowControl/>
              <w:spacing w:line="240" w:lineRule="auto"/>
              <w:jc w:val="center"/>
              <w:textAlignment w:val="center"/>
              <w:rPr>
                <w:rFonts w:ascii="宋体" w:hAnsi="宋体"/>
                <w:color w:val="000000"/>
                <w:highlight w:val="none"/>
              </w:rPr>
            </w:pPr>
            <w:r>
              <w:rPr>
                <w:rFonts w:hint="eastAsia" w:ascii="宋体" w:hAnsi="宋体"/>
                <w:color w:val="000000"/>
                <w:kern w:val="0"/>
                <w:highlight w:val="none"/>
              </w:rPr>
              <w:t>X＜80%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0</w:t>
            </w:r>
          </w:p>
        </w:tc>
        <w:tc>
          <w:tcPr>
            <w:tcW w:w="0" w:type="auto"/>
            <w:noWrap/>
            <w:vAlign w:val="center"/>
          </w:tcPr>
          <w:p>
            <w:pPr>
              <w:widowControl/>
              <w:spacing w:line="240" w:lineRule="auto"/>
              <w:jc w:val="center"/>
              <w:textAlignment w:val="center"/>
              <w:rPr>
                <w:rFonts w:ascii="宋体" w:hAnsi="宋体"/>
                <w:color w:val="000000"/>
              </w:rPr>
            </w:pPr>
            <w:r>
              <w:rPr>
                <w:rFonts w:hint="eastAsia" w:ascii="宋体" w:hAnsi="宋体"/>
                <w:color w:val="000000"/>
                <w:kern w:val="0"/>
              </w:rPr>
              <w:t>0</w:t>
            </w:r>
          </w:p>
        </w:tc>
      </w:tr>
    </w:tbl>
    <w:p>
      <w:pPr>
        <w:ind w:firstLine="420" w:firstLineChars="200"/>
        <w:rPr>
          <w:rFonts w:hint="eastAsia"/>
          <w:lang w:val="en-US" w:eastAsia="zh-CN"/>
        </w:rPr>
      </w:pPr>
      <w:r>
        <w:rPr>
          <w:rFonts w:hint="eastAsia"/>
          <w:lang w:val="en-US" w:eastAsia="zh-CN"/>
        </w:rPr>
        <w:t>注：表2中，X为分析对象（区域/场站）的数量。</w:t>
      </w:r>
    </w:p>
    <w:p>
      <w:pPr>
        <w:rPr>
          <w:rFonts w:hint="default"/>
          <w:highlight w:val="none"/>
          <w:lang w:val="en-US" w:eastAsia="zh-CN"/>
        </w:rPr>
      </w:pPr>
      <w:r>
        <w:rPr>
          <w:rFonts w:hint="eastAsia"/>
          <w:highlight w:val="none"/>
          <w:lang w:val="en-US" w:eastAsia="zh-CN"/>
        </w:rPr>
        <w:t>5.2.3.3单项指标评价</w:t>
      </w:r>
    </w:p>
    <w:p>
      <w:pPr>
        <w:ind w:firstLine="420" w:firstLineChars="200"/>
      </w:pPr>
      <w:r>
        <w:rPr>
          <w:rFonts w:hint="eastAsia"/>
        </w:rPr>
        <w:t>a）设备事故事件按次扣分评价。0次得10分；一般安全事故事件发生1次扣3分；发生2次扣6分；发生3次及以上扣10分。</w:t>
      </w:r>
    </w:p>
    <w:p>
      <w:pPr>
        <w:ind w:firstLine="420" w:firstLineChars="200"/>
      </w:pPr>
      <w:r>
        <w:t>b</w:t>
      </w:r>
      <w:r>
        <w:rPr>
          <w:rFonts w:hint="eastAsia"/>
        </w:rPr>
        <w:t>）百公里设备跳闸次数排名评价。0次得10分；发生设备跳闸的场站进行排名，0＜X≤20%得8分；20%＜X≤40%得6分；40%＜X≤60%得4分；60%＜X≤80%得2分；80%以下得0分。若只有少量几个场站发生设备跳闸，按8分、6分、4分进行赋分排名。</w:t>
      </w:r>
    </w:p>
    <w:p>
      <w:pPr>
        <w:ind w:firstLine="420" w:firstLineChars="200"/>
      </w:pPr>
      <w:r>
        <w:t>c</w:t>
      </w:r>
      <w:r>
        <w:rPr>
          <w:rFonts w:hint="eastAsia"/>
        </w:rPr>
        <w:t>）TBA按绝对值评价。时间可利用率实际值乘以权重。例：某风电场可利用率为98.35%，记分：98.35%（实际场平均可利用率）×10（权重）=9.835分。</w:t>
      </w:r>
    </w:p>
    <w:p>
      <w:pPr>
        <w:ind w:firstLine="420" w:firstLineChars="200"/>
      </w:pPr>
      <w:r>
        <w:t>d</w:t>
      </w:r>
      <w:r>
        <w:rPr>
          <w:rFonts w:hint="eastAsia"/>
        </w:rPr>
        <w:t>）MTTR排名评价。0次得10分；发生故障的场站进行排名，0＜X≤20%得8分；20%＜X≤40%得6分；40%＜X≤60%得4分；60%＜X≤80%得2分；80%以下得0分。若只有少量几个场站发生跳闸，按8分、6分、4分进行赋分排名。</w:t>
      </w:r>
    </w:p>
    <w:p>
      <w:pPr>
        <w:ind w:firstLine="420" w:firstLineChars="200"/>
      </w:pPr>
      <w:r>
        <w:t>e</w:t>
      </w:r>
      <w:r>
        <w:rPr>
          <w:rFonts w:hint="eastAsia"/>
        </w:rPr>
        <w:t>）MTBF排名评价。0次得10分；发生故障的场站进行排名，0＜X≤20%得8分；20%＜X≤40%得6分；40%＜X≤60%得4分；60%＜X≤80%得2分；80%以下得0分。若只有少量几个场站发生跳闸，按8分、6分、4分进行赋分排名。</w:t>
      </w:r>
    </w:p>
    <w:p>
      <w:pPr>
        <w:ind w:firstLine="420" w:firstLineChars="200"/>
      </w:pPr>
      <w:r>
        <w:t>f</w:t>
      </w:r>
      <w:r>
        <w:rPr>
          <w:rFonts w:hint="eastAsia"/>
        </w:rPr>
        <w:t>）单位容量大部件更换次数排名评价。0次得10分；发生大部件更换的场站进行排名，0＜X≤20%得8分；20%＜X≤40%得6分；40%＜X≤60%得4分；60%＜X≤80%得2分；80%以下得0分。若只有少量几个场站发生跳闸，按8分、6分、4分进行赋分排名。</w:t>
      </w:r>
    </w:p>
    <w:p>
      <w:pPr>
        <w:ind w:firstLine="420" w:firstLineChars="200"/>
      </w:pPr>
      <w:r>
        <w:t>g</w:t>
      </w:r>
      <w:r>
        <w:rPr>
          <w:rFonts w:hint="eastAsia"/>
        </w:rPr>
        <w:t>）单位容量长停次数排名评价。0次得10分；发生长停的场站进行排名，0＜X≤20%得8分；20%＜X≤40%得6分；40%＜X≤60%得4分；60%＜X≤80%得2分；80%以下得0分。若只有少量几个场站发生跳闸，按8分、6分、4分进行赋分排名。</w:t>
      </w:r>
    </w:p>
    <w:p>
      <w:pPr>
        <w:ind w:firstLine="420" w:firstLineChars="200"/>
      </w:pPr>
      <w:r>
        <w:t>h</w:t>
      </w:r>
      <w:r>
        <w:rPr>
          <w:rFonts w:hint="eastAsia"/>
        </w:rPr>
        <w:t>）等效小时数偏差率排名评价。大于0，得10分；小于0，进行排名赋分；等效小时数场站偏差排名, 0＜X≤20%得8分；20%＜X≤40%得6分；40%＜X≤60%得4分；60%＜X≤80%得2分；80%以下得0分。</w:t>
      </w:r>
    </w:p>
    <w:p>
      <w:pPr>
        <w:ind w:firstLine="420" w:firstLineChars="200"/>
      </w:pPr>
      <w:r>
        <w:t>i</w:t>
      </w:r>
      <w:r>
        <w:rPr>
          <w:rFonts w:hint="eastAsia"/>
        </w:rPr>
        <w:t>）EBA值排名评价。大于1，得15分；小于1，进行排名赋分；场站EBA排名, 0＜X≤20%得12分；20%＜X≤40%得9分；40%＜X≤60%得6分；60%＜X≤80%得3分；80%以下得0分。</w:t>
      </w:r>
    </w:p>
    <w:p>
      <w:pPr>
        <w:ind w:firstLine="420" w:firstLineChars="200"/>
        <w:rPr>
          <w:rFonts w:hint="eastAsia"/>
          <w:lang w:val="en-US" w:eastAsia="zh-CN"/>
        </w:rPr>
      </w:pPr>
      <w:r>
        <w:t>j</w:t>
      </w:r>
      <w:r>
        <w:rPr>
          <w:rFonts w:hint="eastAsia"/>
        </w:rPr>
        <w:t>）综合厂用电率排名评价。小于3%，得10分；大于3%，进行排名赋分；综合厂用电率排名，0＜X≤20%得4分；20%＜X≤40%得3分；40%＜X≤60%得1分；60%＜X≤80%得1分；80%以下得0分。</w:t>
      </w:r>
    </w:p>
    <w:p>
      <w:pPr>
        <w:rPr>
          <w:rFonts w:hint="eastAsia"/>
          <w:lang w:val="en-US" w:eastAsia="zh-CN"/>
        </w:rPr>
      </w:pPr>
      <w:r>
        <w:rPr>
          <w:rFonts w:hint="eastAsia"/>
          <w:lang w:val="en-US" w:eastAsia="zh-CN"/>
        </w:rPr>
        <w:t>5.2.4 评价结果</w:t>
      </w:r>
    </w:p>
    <w:p>
      <w:pPr>
        <w:ind w:firstLine="420" w:firstLineChars="200"/>
      </w:pPr>
      <w:r>
        <w:rPr>
          <w:rFonts w:hint="eastAsia"/>
        </w:rPr>
        <w:t>场站运行业绩指标评价分值为100分，不合格＜70，70≤良好＜90，90≤优秀≤100。评价90分以上的为优秀场站，评价70分至90分的为良好场站，评价70分以下的为待改进场站。</w:t>
      </w:r>
    </w:p>
    <w:p>
      <w:pPr>
        <w:pStyle w:val="56"/>
        <w:ind w:left="0" w:leftChars="0" w:firstLine="0" w:firstLineChars="0"/>
        <w:sectPr>
          <w:footerReference r:id="rId19" w:type="first"/>
          <w:footerReference r:id="rId17" w:type="default"/>
          <w:footerReference r:id="rId18" w:type="even"/>
          <w:pgSz w:w="11906" w:h="16838"/>
          <w:pgMar w:top="1928" w:right="1134" w:bottom="1134" w:left="1134" w:header="1418" w:footer="1134" w:gutter="284"/>
          <w:pgBorders>
            <w:top w:val="none" w:sz="0" w:space="0"/>
            <w:left w:val="none" w:sz="0" w:space="0"/>
            <w:bottom w:val="none" w:sz="0" w:space="0"/>
            <w:right w:val="none" w:sz="0" w:space="0"/>
          </w:pgBorders>
          <w:pgNumType w:fmt="decimal" w:start="1"/>
          <w:cols w:space="425" w:num="1"/>
          <w:formProt w:val="0"/>
          <w:titlePg/>
          <w:docGrid w:type="lines" w:linePitch="312" w:charSpace="0"/>
        </w:sectPr>
      </w:pPr>
    </w:p>
    <w:p>
      <w:pPr>
        <w:pStyle w:val="89"/>
        <w:numPr>
          <w:ilvl w:val="0"/>
          <w:numId w:val="0"/>
        </w:numPr>
        <w:spacing w:before="0" w:after="0" w:afterLines="0"/>
        <w:rPr>
          <w:spacing w:val="320"/>
        </w:rPr>
      </w:pPr>
      <w:bookmarkStart w:id="55" w:name="_Toc19168"/>
      <w:r>
        <w:rPr>
          <w:rFonts w:hint="eastAsia"/>
          <w:spacing w:val="320"/>
        </w:rPr>
        <w:t>附录A</w:t>
      </w:r>
      <w:bookmarkEnd w:id="55"/>
    </w:p>
    <w:p>
      <w:pPr>
        <w:pStyle w:val="89"/>
        <w:numPr>
          <w:ilvl w:val="0"/>
          <w:numId w:val="0"/>
        </w:numPr>
        <w:spacing w:before="0" w:after="0" w:afterLines="0"/>
      </w:pPr>
      <w:bookmarkStart w:id="56" w:name="_Toc20210"/>
      <w:bookmarkStart w:id="57" w:name="_Toc147432309"/>
      <w:r>
        <w:rPr>
          <w:rFonts w:hint="eastAsia"/>
        </w:rPr>
        <w:t>（资料性）</w:t>
      </w:r>
      <w:bookmarkEnd w:id="56"/>
      <w:bookmarkEnd w:id="57"/>
    </w:p>
    <w:p>
      <w:pPr>
        <w:pStyle w:val="89"/>
        <w:numPr>
          <w:ilvl w:val="0"/>
          <w:numId w:val="0"/>
        </w:numPr>
        <w:spacing w:before="0" w:after="0" w:afterLines="0"/>
      </w:pPr>
      <w:bookmarkStart w:id="58" w:name="_Toc20073"/>
      <w:r>
        <w:rPr>
          <w:rFonts w:hint="eastAsia"/>
        </w:rPr>
        <w:t>风电场运行业绩综合指标评价汇总表</w:t>
      </w:r>
      <w:bookmarkEnd w:id="58"/>
    </w:p>
    <w:tbl>
      <w:tblPr>
        <w:tblStyle w:val="27"/>
        <w:tblW w:w="14003" w:type="dxa"/>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ED7D31" w:themeFill="accent2"/>
        <w:tblLayout w:type="autofit"/>
        <w:tblCellMar>
          <w:top w:w="0" w:type="dxa"/>
          <w:left w:w="108" w:type="dxa"/>
          <w:bottom w:w="0" w:type="dxa"/>
          <w:right w:w="108" w:type="dxa"/>
        </w:tblCellMar>
      </w:tblPr>
      <w:tblGrid>
        <w:gridCol w:w="734"/>
        <w:gridCol w:w="734"/>
        <w:gridCol w:w="734"/>
        <w:gridCol w:w="734"/>
        <w:gridCol w:w="734"/>
        <w:gridCol w:w="734"/>
        <w:gridCol w:w="734"/>
        <w:gridCol w:w="734"/>
        <w:gridCol w:w="734"/>
        <w:gridCol w:w="734"/>
        <w:gridCol w:w="734"/>
        <w:gridCol w:w="735"/>
        <w:gridCol w:w="735"/>
        <w:gridCol w:w="734"/>
        <w:gridCol w:w="734"/>
        <w:gridCol w:w="734"/>
        <w:gridCol w:w="789"/>
        <w:gridCol w:w="734"/>
        <w:gridCol w:w="734"/>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ED7D31" w:themeFill="accent2"/>
          <w:tblCellMar>
            <w:top w:w="0" w:type="dxa"/>
            <w:left w:w="108" w:type="dxa"/>
            <w:bottom w:w="0" w:type="dxa"/>
            <w:right w:w="108" w:type="dxa"/>
          </w:tblCellMar>
        </w:tblPrEx>
        <w:trPr>
          <w:trHeight w:val="632" w:hRule="atLeast"/>
        </w:trPr>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序号</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区域</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场站</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品牌</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型号</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风机数量</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容量</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指标</w:t>
            </w:r>
          </w:p>
        </w:tc>
        <w:tc>
          <w:tcPr>
            <w:tcW w:w="1474" w:type="dxa"/>
            <w:gridSpan w:val="2"/>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安全性指标</w:t>
            </w:r>
          </w:p>
        </w:tc>
        <w:tc>
          <w:tcPr>
            <w:tcW w:w="3685" w:type="dxa"/>
            <w:gridSpan w:val="5"/>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可靠性指标</w:t>
            </w:r>
          </w:p>
        </w:tc>
        <w:tc>
          <w:tcPr>
            <w:tcW w:w="2211" w:type="dxa"/>
            <w:gridSpan w:val="3"/>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效能指标</w:t>
            </w:r>
          </w:p>
        </w:tc>
        <w:tc>
          <w:tcPr>
            <w:tcW w:w="737" w:type="dxa"/>
            <w:vMerge w:val="restart"/>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得分</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702" w:hRule="atLeast"/>
        </w:trPr>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安全事故事件次数</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百公里设备跳闸次数</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TBA</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MTBF</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MTTR</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单位容量大部件更换次数</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单位容量长停次数</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等效小时数偏差</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EBA偏差率</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综合场用电率</w:t>
            </w:r>
          </w:p>
        </w:tc>
        <w:tc>
          <w:tcPr>
            <w:tcW w:w="737" w:type="dxa"/>
            <w:vMerge w:val="continue"/>
            <w:tcBorders>
              <w:tl2br w:val="nil"/>
              <w:tr2bl w:val="nil"/>
            </w:tcBorders>
            <w:shd w:val="clear" w:color="auto" w:fill="ED7D31" w:themeFill="accent2"/>
            <w:vAlign w:val="center"/>
          </w:tcPr>
          <w:p>
            <w:pPr>
              <w:spacing w:line="240" w:lineRule="auto"/>
              <w:jc w:val="center"/>
              <w:rPr>
                <w:rFonts w:hint="eastAsia" w:ascii="宋体" w:hAnsi="宋体" w:eastAsia="宋体" w:cs="宋体"/>
                <w:b/>
                <w:bCs/>
                <w:color w:val="FFFFFF" w:themeColor="background1"/>
                <w:sz w:val="24"/>
                <w:szCs w:val="24"/>
                <w:vertAlign w:val="baseline"/>
                <w14:textFill>
                  <w14:solidFill>
                    <w14:schemeClr w14:val="bg1"/>
                  </w14:solidFill>
                </w14:textFill>
              </w:rPr>
            </w:pP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874" w:hRule="atLeast"/>
        </w:trPr>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vMerge w:val="continue"/>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14:textFill>
                  <w14:solidFill>
                    <w14:schemeClr w14:val="bg1"/>
                  </w14:solidFill>
                </w14:textFill>
              </w:rPr>
            </w:pP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权重</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10</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15</w:t>
            </w:r>
          </w:p>
        </w:tc>
        <w:tc>
          <w:tcPr>
            <w:tcW w:w="737" w:type="dxa"/>
            <w:tcBorders>
              <w:tl2br w:val="nil"/>
              <w:tr2bl w:val="nil"/>
            </w:tcBorders>
            <w:shd w:val="clear" w:color="auto" w:fill="ED7D31" w:themeFill="accent2"/>
            <w:vAlign w:val="center"/>
          </w:tcPr>
          <w:p>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pPr>
            <w:r>
              <w:rPr>
                <w:rFonts w:hint="eastAsia" w:ascii="宋体" w:hAnsi="宋体" w:eastAsia="宋体" w:cs="宋体"/>
                <w:b/>
                <w:bCs/>
                <w:color w:val="FFFFFF" w:themeColor="background1"/>
                <w:sz w:val="24"/>
                <w:szCs w:val="24"/>
                <w:vertAlign w:val="baseline"/>
                <w:lang w:val="en-US" w:eastAsia="zh-CN"/>
                <w14:textFill>
                  <w14:solidFill>
                    <w14:schemeClr w14:val="bg1"/>
                  </w14:solidFill>
                </w14:textFill>
              </w:rPr>
              <w:t>5</w:t>
            </w:r>
          </w:p>
        </w:tc>
        <w:tc>
          <w:tcPr>
            <w:tcW w:w="737" w:type="dxa"/>
            <w:vMerge w:val="continue"/>
            <w:tcBorders>
              <w:tl2br w:val="nil"/>
              <w:tr2bl w:val="nil"/>
            </w:tcBorders>
            <w:shd w:val="clear" w:color="auto" w:fill="ED7D31" w:themeFill="accent2"/>
            <w:vAlign w:val="center"/>
          </w:tcPr>
          <w:p>
            <w:pPr>
              <w:spacing w:line="240" w:lineRule="auto"/>
              <w:jc w:val="center"/>
              <w:rPr>
                <w:rFonts w:hint="eastAsia" w:ascii="宋体" w:hAnsi="宋体" w:eastAsia="宋体" w:cs="宋体"/>
                <w:b/>
                <w:bCs/>
                <w:color w:val="FFFFFF" w:themeColor="background1"/>
                <w:sz w:val="24"/>
                <w:szCs w:val="24"/>
                <w:vertAlign w:val="baseline"/>
                <w14:textFill>
                  <w14:solidFill>
                    <w14:schemeClr w14:val="bg1"/>
                  </w14:solidFill>
                </w14:textFill>
              </w:rPr>
            </w:pPr>
          </w:p>
        </w:tc>
      </w:tr>
    </w:tbl>
    <w:p>
      <w:pPr>
        <w:pStyle w:val="56"/>
        <w:ind w:firstLine="0" w:firstLineChars="0"/>
      </w:pPr>
    </w:p>
    <w:p>
      <w:pPr>
        <w:pStyle w:val="56"/>
        <w:ind w:firstLine="420"/>
        <w:sectPr>
          <w:footerReference r:id="rId20" w:type="default"/>
          <w:footerReference r:id="rId21" w:type="even"/>
          <w:pgSz w:w="16838" w:h="11906" w:orient="landscape"/>
          <w:pgMar w:top="1134" w:right="1928" w:bottom="1134" w:left="1134" w:header="1418" w:footer="1134" w:gutter="284"/>
          <w:pgBorders>
            <w:top w:val="none" w:sz="0" w:space="0"/>
            <w:left w:val="none" w:sz="0" w:space="0"/>
            <w:bottom w:val="none" w:sz="0" w:space="0"/>
            <w:right w:val="none" w:sz="0" w:space="0"/>
          </w:pgBorders>
          <w:pgNumType w:fmt="decimal"/>
          <w:cols w:space="425" w:num="1"/>
          <w:formProt w:val="0"/>
          <w:docGrid w:type="lines" w:linePitch="312" w:charSpace="0"/>
        </w:sectPr>
      </w:pPr>
    </w:p>
    <w:p>
      <w:pPr>
        <w:pStyle w:val="89"/>
        <w:numPr>
          <w:ilvl w:val="0"/>
          <w:numId w:val="0"/>
        </w:numPr>
        <w:spacing w:before="0" w:after="0" w:afterLines="0"/>
        <w:rPr>
          <w:spacing w:val="320"/>
        </w:rPr>
      </w:pPr>
      <w:bookmarkStart w:id="59" w:name="_Toc11117"/>
      <w:r>
        <w:rPr>
          <w:spacing w:val="320"/>
        </w:rPr>
        <w:t>附录</w:t>
      </w:r>
      <w:r>
        <w:rPr>
          <w:rFonts w:hint="eastAsia"/>
          <w:spacing w:val="320"/>
        </w:rPr>
        <w:t>B</w:t>
      </w:r>
      <w:bookmarkEnd w:id="59"/>
    </w:p>
    <w:p>
      <w:pPr>
        <w:pStyle w:val="89"/>
        <w:numPr>
          <w:ilvl w:val="0"/>
          <w:numId w:val="0"/>
        </w:numPr>
        <w:spacing w:before="0" w:after="0" w:afterLines="0"/>
      </w:pPr>
      <w:bookmarkStart w:id="60" w:name="_Toc18133"/>
      <w:r>
        <w:rPr>
          <w:rFonts w:hint="eastAsia"/>
        </w:rPr>
        <w:t>（规范性）</w:t>
      </w:r>
      <w:bookmarkEnd w:id="60"/>
    </w:p>
    <w:p>
      <w:pPr>
        <w:pStyle w:val="89"/>
        <w:numPr>
          <w:ilvl w:val="0"/>
          <w:numId w:val="0"/>
        </w:numPr>
        <w:spacing w:before="0" w:after="0" w:afterLines="0"/>
      </w:pPr>
      <w:bookmarkStart w:id="61" w:name="_Toc20276"/>
      <w:r>
        <w:rPr>
          <w:rFonts w:hint="eastAsia"/>
        </w:rPr>
        <w:t>风电场运行业绩指标评价报告</w:t>
      </w:r>
      <w:bookmarkEnd w:id="61"/>
    </w:p>
    <w:p/>
    <w:p/>
    <w:p/>
    <w:p/>
    <w:p/>
    <w:p/>
    <w:p/>
    <w:p/>
    <w:p/>
    <w:p>
      <w:pPr>
        <w:pStyle w:val="230"/>
        <w:spacing w:line="480" w:lineRule="auto"/>
        <w:ind w:firstLine="0" w:firstLineChars="0"/>
        <w:jc w:val="center"/>
        <w:rPr>
          <w:rFonts w:ascii="黑体" w:hAnsi="黑体" w:eastAsia="黑体"/>
          <w:b/>
          <w:bCs/>
          <w:sz w:val="44"/>
          <w:szCs w:val="44"/>
        </w:rPr>
      </w:pPr>
      <w:r>
        <w:rPr>
          <w:rFonts w:hint="eastAsia" w:ascii="黑体" w:hAnsi="黑体" w:eastAsia="黑体"/>
          <w:b/>
          <w:bCs/>
          <w:sz w:val="44"/>
          <w:szCs w:val="44"/>
        </w:rPr>
        <w:t>×××新能源××分公司</w:t>
      </w:r>
    </w:p>
    <w:p>
      <w:pPr>
        <w:pStyle w:val="230"/>
        <w:spacing w:line="480" w:lineRule="auto"/>
        <w:ind w:firstLine="0" w:firstLineChars="0"/>
        <w:jc w:val="center"/>
        <w:rPr>
          <w:rFonts w:ascii="黑体" w:hAnsi="黑体" w:eastAsia="黑体"/>
          <w:b/>
          <w:bCs/>
          <w:sz w:val="44"/>
          <w:szCs w:val="44"/>
        </w:rPr>
      </w:pPr>
      <w:r>
        <w:rPr>
          <w:rFonts w:hint="eastAsia" w:ascii="黑体" w:hAnsi="黑体" w:eastAsia="黑体"/>
          <w:b/>
          <w:bCs/>
          <w:sz w:val="44"/>
          <w:szCs w:val="44"/>
        </w:rPr>
        <w:t>202×年××月风电场运行业绩指标评价报告</w:t>
      </w:r>
    </w:p>
    <w:p/>
    <w:p/>
    <w:p/>
    <w:p/>
    <w:p/>
    <w:p/>
    <w:p/>
    <w:p/>
    <w:p/>
    <w:p/>
    <w:p/>
    <w:p/>
    <w:p>
      <w:pPr>
        <w:pStyle w:val="230"/>
        <w:ind w:firstLine="640"/>
        <w:jc w:val="center"/>
        <w:rPr>
          <w:rFonts w:ascii="黑体" w:hAnsi="黑体" w:eastAsia="黑体"/>
          <w:kern w:val="2"/>
          <w:sz w:val="32"/>
          <w:szCs w:val="32"/>
        </w:rPr>
      </w:pPr>
      <w:r>
        <w:rPr>
          <w:rFonts w:hint="eastAsia" w:ascii="黑体" w:hAnsi="黑体" w:eastAsia="黑体"/>
          <w:kern w:val="2"/>
          <w:sz w:val="32"/>
          <w:szCs w:val="32"/>
        </w:rPr>
        <w:t>××分公司</w:t>
      </w:r>
    </w:p>
    <w:p>
      <w:pPr>
        <w:pStyle w:val="230"/>
        <w:ind w:firstLine="640"/>
        <w:jc w:val="center"/>
        <w:rPr>
          <w:rFonts w:ascii="黑体" w:hAnsi="黑体" w:eastAsia="黑体"/>
          <w:kern w:val="2"/>
          <w:sz w:val="32"/>
          <w:szCs w:val="32"/>
        </w:rPr>
      </w:pPr>
      <w:r>
        <w:rPr>
          <w:rFonts w:hint="eastAsia" w:ascii="黑体" w:hAnsi="黑体" w:eastAsia="黑体"/>
          <w:kern w:val="2"/>
          <w:sz w:val="32"/>
          <w:szCs w:val="32"/>
        </w:rPr>
        <w:t>202×年××月</w:t>
      </w:r>
    </w:p>
    <w:p>
      <w:pPr>
        <w:tabs>
          <w:tab w:val="right" w:leader="dot" w:pos="9030"/>
        </w:tabs>
        <w:spacing w:line="360" w:lineRule="auto"/>
        <w:ind w:firstLine="482"/>
        <w:jc w:val="center"/>
        <w:rPr>
          <w:rFonts w:ascii="华文仿宋" w:hAnsi="华文仿宋" w:eastAsia="华文仿宋" w:cs="等线"/>
          <w:b/>
          <w:color w:val="000000"/>
          <w:kern w:val="0"/>
          <w:sz w:val="36"/>
          <w:szCs w:val="28"/>
        </w:rPr>
      </w:pPr>
      <w:r>
        <w:rPr>
          <w:rFonts w:ascii="黑体" w:hAnsi="黑体" w:eastAsia="黑体"/>
          <w:sz w:val="32"/>
          <w:szCs w:val="32"/>
        </w:rPr>
        <w:br w:type="page"/>
      </w:r>
      <w:r>
        <w:rPr>
          <w:rFonts w:hint="eastAsia" w:ascii="华文仿宋" w:hAnsi="华文仿宋" w:eastAsia="华文仿宋" w:cs="等线"/>
          <w:b/>
          <w:color w:val="000000"/>
          <w:kern w:val="0"/>
          <w:sz w:val="36"/>
          <w:szCs w:val="28"/>
        </w:rPr>
        <w:t xml:space="preserve">目 </w:t>
      </w:r>
      <w:r>
        <w:rPr>
          <w:rFonts w:ascii="华文仿宋" w:hAnsi="华文仿宋" w:eastAsia="华文仿宋" w:cs="等线"/>
          <w:b/>
          <w:color w:val="000000"/>
          <w:kern w:val="0"/>
          <w:sz w:val="36"/>
          <w:szCs w:val="28"/>
        </w:rPr>
        <w:t xml:space="preserve"> </w:t>
      </w:r>
      <w:r>
        <w:rPr>
          <w:rFonts w:hint="eastAsia" w:ascii="华文仿宋" w:hAnsi="华文仿宋" w:eastAsia="华文仿宋" w:cs="等线"/>
          <w:b/>
          <w:color w:val="000000"/>
          <w:kern w:val="0"/>
          <w:sz w:val="36"/>
          <w:szCs w:val="28"/>
        </w:rPr>
        <w:t>录</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一、概况</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15</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二、评价方式</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15</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三、运行业绩综合指标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16</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（一） 安全性指标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16</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1.安全事故事件次数</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16</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2.百公里设备跳闸次数</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17</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（二） 可靠性指标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17</w:t>
      </w:r>
    </w:p>
    <w:p>
      <w:pPr>
        <w:tabs>
          <w:tab w:val="right" w:leader="dot" w:pos="9030"/>
        </w:tabs>
        <w:spacing w:line="360" w:lineRule="auto"/>
        <w:ind w:firstLine="482"/>
        <w:rPr>
          <w:rFonts w:ascii="华文仿宋" w:hAnsi="华文仿宋" w:eastAsia="华文仿宋" w:cs="等线"/>
          <w:color w:val="000000"/>
          <w:kern w:val="0"/>
          <w:sz w:val="28"/>
          <w:szCs w:val="28"/>
        </w:rPr>
      </w:pPr>
      <w:r>
        <w:rPr>
          <w:rFonts w:ascii="华文仿宋" w:hAnsi="华文仿宋" w:eastAsia="华文仿宋" w:cs="等线"/>
          <w:color w:val="000000"/>
          <w:kern w:val="0"/>
          <w:sz w:val="28"/>
          <w:szCs w:val="28"/>
        </w:rPr>
        <w:t>1.TBA</w:t>
      </w:r>
      <w:r>
        <w:rPr>
          <w:rFonts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17</w:t>
      </w:r>
    </w:p>
    <w:p>
      <w:pPr>
        <w:tabs>
          <w:tab w:val="right" w:leader="dot" w:pos="9030"/>
        </w:tabs>
        <w:spacing w:line="360" w:lineRule="auto"/>
        <w:ind w:firstLine="482"/>
        <w:rPr>
          <w:rFonts w:ascii="华文仿宋" w:hAnsi="华文仿宋" w:eastAsia="华文仿宋" w:cs="等线"/>
          <w:color w:val="000000"/>
          <w:kern w:val="0"/>
          <w:sz w:val="28"/>
          <w:szCs w:val="28"/>
        </w:rPr>
      </w:pPr>
      <w:r>
        <w:rPr>
          <w:rFonts w:ascii="华文仿宋" w:hAnsi="华文仿宋" w:eastAsia="华文仿宋" w:cs="等线"/>
          <w:color w:val="000000"/>
          <w:kern w:val="0"/>
          <w:sz w:val="28"/>
          <w:szCs w:val="28"/>
        </w:rPr>
        <w:t>2. MTBF</w:t>
      </w:r>
      <w:r>
        <w:rPr>
          <w:rFonts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18</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3.MT</w:t>
      </w:r>
      <w:r>
        <w:rPr>
          <w:rFonts w:ascii="华文仿宋" w:hAnsi="华文仿宋" w:eastAsia="华文仿宋" w:cs="等线"/>
          <w:color w:val="000000"/>
          <w:kern w:val="0"/>
          <w:sz w:val="28"/>
          <w:szCs w:val="28"/>
        </w:rPr>
        <w:t>TR</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19</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4.单位容量大部件更换次数</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19</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5.单位容量设备长停次数</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20</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（三） 效能指标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20</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1.等效小时数偏差</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20</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2.EBA偏差率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21</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3.综合厂用电率</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21</w:t>
      </w:r>
    </w:p>
    <w:p>
      <w:pPr>
        <w:tabs>
          <w:tab w:val="right" w:leader="dot" w:pos="9030"/>
        </w:tabs>
        <w:spacing w:line="360" w:lineRule="auto"/>
        <w:ind w:firstLine="482"/>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四、 总结</w:t>
      </w:r>
      <w:r>
        <w:rPr>
          <w:rFonts w:hint="eastAsia" w:ascii="华文仿宋" w:hAnsi="华文仿宋" w:eastAsia="华文仿宋" w:cs="等线"/>
          <w:color w:val="000000"/>
          <w:kern w:val="0"/>
          <w:sz w:val="28"/>
          <w:szCs w:val="28"/>
        </w:rPr>
        <w:tab/>
      </w:r>
      <w:r>
        <w:rPr>
          <w:rFonts w:ascii="华文仿宋" w:hAnsi="华文仿宋" w:eastAsia="华文仿宋" w:cs="等线"/>
          <w:color w:val="000000"/>
          <w:kern w:val="0"/>
          <w:sz w:val="28"/>
          <w:szCs w:val="28"/>
        </w:rPr>
        <w:t>22</w:t>
      </w:r>
    </w:p>
    <w:p>
      <w:pPr>
        <w:spacing w:line="360" w:lineRule="auto"/>
        <w:outlineLvl w:val="0"/>
        <w:rPr>
          <w:rFonts w:ascii="黑体" w:hAnsi="黑体" w:eastAsia="黑体"/>
          <w:b/>
          <w:sz w:val="28"/>
          <w:szCs w:val="28"/>
        </w:rPr>
      </w:pPr>
      <w:r>
        <w:br w:type="page"/>
      </w:r>
      <w:r>
        <w:rPr>
          <w:rFonts w:hint="eastAsia" w:ascii="黑体" w:hAnsi="黑体" w:eastAsia="黑体"/>
          <w:b/>
          <w:sz w:val="28"/>
          <w:szCs w:val="28"/>
        </w:rPr>
        <w:t>一、概况</w:t>
      </w:r>
    </w:p>
    <w:p>
      <w:pPr>
        <w:spacing w:line="360" w:lineRule="auto"/>
        <w:ind w:firstLine="48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新能源××分公司在××省内风电装机投运达到××万千瓦，共有×座风电场，包含有风力发电机组共×××台，其中涉及×家风机设备制造商，分别为金风科技××台、海装风电××台、歌美飒××台、上海电气××台，目前已出质保机组××台。</w:t>
      </w:r>
    </w:p>
    <w:p>
      <w:pPr>
        <w:spacing w:line="360" w:lineRule="auto"/>
        <w:ind w:firstLine="480"/>
        <w:rPr>
          <w:rFonts w:ascii="华文仿宋" w:hAnsi="华文仿宋" w:eastAsia="华文仿宋" w:cs="等线"/>
          <w:sz w:val="28"/>
          <w:szCs w:val="28"/>
        </w:rPr>
      </w:pPr>
      <w:r>
        <w:rPr>
          <w:rFonts w:hint="eastAsia" w:ascii="华文仿宋" w:hAnsi="华文仿宋" w:eastAsia="华文仿宋" w:cs="等线"/>
          <w:color w:val="000000"/>
          <w:kern w:val="0"/>
          <w:sz w:val="28"/>
          <w:szCs w:val="28"/>
        </w:rPr>
        <w:t>为规范场站运行业绩指标评价管理工作，进一步巩固、提升设备治理成果，严格落实发电设备评价机制，通过区域对标、场站对标、设备对标等方式找差距，采取有效措施不断提升设备可靠性，减少设备故障率，节约运营成本，实现发电设备全生命周期管理评价，特编制本报告。</w:t>
      </w:r>
    </w:p>
    <w:p>
      <w:pPr>
        <w:numPr>
          <w:ilvl w:val="0"/>
          <w:numId w:val="32"/>
        </w:numPr>
        <w:adjustRightInd/>
        <w:spacing w:line="360" w:lineRule="auto"/>
        <w:outlineLvl w:val="0"/>
        <w:rPr>
          <w:rFonts w:ascii="黑体" w:hAnsi="黑体" w:eastAsia="黑体"/>
          <w:b/>
          <w:sz w:val="28"/>
          <w:szCs w:val="28"/>
        </w:rPr>
      </w:pPr>
      <w:r>
        <w:rPr>
          <w:rFonts w:hint="eastAsia" w:ascii="黑体" w:hAnsi="黑体" w:eastAsia="黑体"/>
          <w:b/>
          <w:sz w:val="28"/>
          <w:szCs w:val="28"/>
        </w:rPr>
        <w:t>评价方式</w:t>
      </w:r>
    </w:p>
    <w:p>
      <w:pPr>
        <w:spacing w:line="360" w:lineRule="auto"/>
        <w:ind w:firstLine="425"/>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安全性指标、可靠性指标、效能指标按照单项指标和综合指标进行评价排名。总体按照按次扣分评价、绝对值评价、排名评价等方式进行赋分。优值不参与排名，赋满分；发生故障或者超过定限定值的场站进行排名；数据填写错误或者无数据赋0分。场站运行业绩指标评价分值为100分，不合格＜70，70≤良好＜90，90≤优秀≤100。评价90分以上的为优秀场站，评价70分至90分的为良好场站，评价70分以下的为待改进场站。</w:t>
      </w:r>
    </w:p>
    <w:tbl>
      <w:tblPr>
        <w:tblStyle w:val="26"/>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325"/>
        <w:gridCol w:w="1335"/>
        <w:gridCol w:w="148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80" w:type="dxa"/>
            <w:noWrap/>
            <w:vAlign w:val="center"/>
          </w:tcPr>
          <w:p>
            <w:pPr>
              <w:widowControl/>
              <w:jc w:val="center"/>
              <w:textAlignment w:val="center"/>
              <w:rPr>
                <w:rFonts w:ascii="宋体" w:hAnsi="宋体"/>
                <w:b/>
                <w:bCs/>
                <w:color w:val="000000"/>
                <w:sz w:val="22"/>
                <w:szCs w:val="22"/>
              </w:rPr>
            </w:pPr>
            <w:r>
              <w:rPr>
                <w:rFonts w:hint="eastAsia" w:ascii="宋体" w:hAnsi="宋体"/>
                <w:b/>
                <w:bCs/>
                <w:color w:val="000000"/>
                <w:kern w:val="0"/>
                <w:sz w:val="22"/>
                <w:szCs w:val="22"/>
              </w:rPr>
              <w:t>评价</w:t>
            </w:r>
          </w:p>
        </w:tc>
        <w:tc>
          <w:tcPr>
            <w:tcW w:w="2325" w:type="dxa"/>
            <w:noWrap/>
            <w:vAlign w:val="center"/>
          </w:tcPr>
          <w:p>
            <w:pPr>
              <w:widowControl/>
              <w:jc w:val="center"/>
              <w:textAlignment w:val="center"/>
              <w:rPr>
                <w:rFonts w:ascii="宋体" w:hAnsi="宋体"/>
                <w:b/>
                <w:bCs/>
                <w:color w:val="000000"/>
                <w:sz w:val="22"/>
                <w:szCs w:val="22"/>
              </w:rPr>
            </w:pPr>
            <w:r>
              <w:rPr>
                <w:rFonts w:hint="eastAsia" w:ascii="宋体" w:hAnsi="宋体"/>
                <w:b/>
                <w:bCs/>
                <w:color w:val="000000"/>
                <w:kern w:val="0"/>
                <w:sz w:val="22"/>
                <w:szCs w:val="22"/>
              </w:rPr>
              <w:t>范围</w:t>
            </w:r>
          </w:p>
        </w:tc>
        <w:tc>
          <w:tcPr>
            <w:tcW w:w="1335" w:type="dxa"/>
            <w:noWrap/>
            <w:vAlign w:val="center"/>
          </w:tcPr>
          <w:p>
            <w:pPr>
              <w:widowControl/>
              <w:jc w:val="center"/>
              <w:textAlignment w:val="center"/>
              <w:rPr>
                <w:rFonts w:ascii="宋体" w:hAnsi="宋体"/>
                <w:b/>
                <w:bCs/>
                <w:color w:val="000000"/>
                <w:sz w:val="22"/>
                <w:szCs w:val="22"/>
              </w:rPr>
            </w:pPr>
            <w:r>
              <w:rPr>
                <w:rFonts w:hint="eastAsia" w:ascii="宋体" w:hAnsi="宋体"/>
                <w:b/>
                <w:bCs/>
                <w:color w:val="000000"/>
                <w:kern w:val="0"/>
                <w:sz w:val="22"/>
                <w:szCs w:val="22"/>
              </w:rPr>
              <w:t>权重[0,5]</w:t>
            </w:r>
          </w:p>
        </w:tc>
        <w:tc>
          <w:tcPr>
            <w:tcW w:w="1485" w:type="dxa"/>
            <w:noWrap/>
            <w:vAlign w:val="center"/>
          </w:tcPr>
          <w:p>
            <w:pPr>
              <w:widowControl/>
              <w:jc w:val="center"/>
              <w:textAlignment w:val="center"/>
              <w:rPr>
                <w:rFonts w:ascii="宋体" w:hAnsi="宋体"/>
                <w:b/>
                <w:bCs/>
                <w:color w:val="000000"/>
                <w:sz w:val="22"/>
                <w:szCs w:val="22"/>
              </w:rPr>
            </w:pPr>
            <w:r>
              <w:rPr>
                <w:rFonts w:hint="eastAsia" w:ascii="宋体" w:hAnsi="宋体"/>
                <w:b/>
                <w:bCs/>
                <w:color w:val="000000"/>
                <w:kern w:val="0"/>
                <w:sz w:val="22"/>
                <w:szCs w:val="22"/>
              </w:rPr>
              <w:t>权重[0,10]</w:t>
            </w:r>
          </w:p>
        </w:tc>
        <w:tc>
          <w:tcPr>
            <w:tcW w:w="1485" w:type="dxa"/>
            <w:noWrap/>
            <w:vAlign w:val="center"/>
          </w:tcPr>
          <w:p>
            <w:pPr>
              <w:widowControl/>
              <w:jc w:val="center"/>
              <w:textAlignment w:val="center"/>
              <w:rPr>
                <w:rFonts w:ascii="宋体" w:hAnsi="宋体"/>
                <w:b/>
                <w:bCs/>
                <w:color w:val="000000"/>
                <w:sz w:val="22"/>
                <w:szCs w:val="22"/>
              </w:rPr>
            </w:pPr>
            <w:r>
              <w:rPr>
                <w:rFonts w:hint="eastAsia" w:ascii="宋体" w:hAnsi="宋体"/>
                <w:b/>
                <w:bCs/>
                <w:color w:val="000000"/>
                <w:kern w:val="0"/>
                <w:sz w:val="22"/>
                <w:szCs w:val="22"/>
              </w:rPr>
              <w:t>权重[0,15]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restart"/>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优值</w:t>
            </w: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设备安全事故事件次数=0</w:t>
            </w:r>
          </w:p>
        </w:tc>
        <w:tc>
          <w:tcPr>
            <w:tcW w:w="0" w:type="auto"/>
            <w:vMerge w:val="restart"/>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5</w:t>
            </w:r>
          </w:p>
        </w:tc>
        <w:tc>
          <w:tcPr>
            <w:tcW w:w="0" w:type="auto"/>
            <w:vMerge w:val="restart"/>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10</w:t>
            </w:r>
          </w:p>
        </w:tc>
        <w:tc>
          <w:tcPr>
            <w:tcW w:w="0" w:type="auto"/>
            <w:vMerge w:val="restart"/>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设备跳闸次数=0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TBA=100%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MTTR故障次数=0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MTBF故障次数=0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大部件更换次数=0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长停次数=0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等效小时数偏差率＞</w:t>
            </w:r>
            <w:r>
              <w:rPr>
                <w:rFonts w:ascii="Times New Roman" w:hAnsi="Times New Roman" w:eastAsia="微软雅黑"/>
                <w:color w:val="000000"/>
                <w:kern w:val="0"/>
              </w:rPr>
              <w:t>0</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EBA</w:t>
            </w:r>
            <w:r>
              <w:rPr>
                <w:rFonts w:hint="eastAsia" w:ascii="宋体" w:hAnsi="宋体"/>
                <w:color w:val="000000"/>
                <w:kern w:val="0"/>
              </w:rPr>
              <w:t>＞</w:t>
            </w:r>
            <w:r>
              <w:rPr>
                <w:rFonts w:ascii="Times New Roman" w:hAnsi="Times New Roman" w:eastAsia="微软雅黑"/>
                <w:color w:val="000000"/>
                <w:kern w:val="0"/>
              </w:rPr>
              <w:t>1</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综合场站用电率＜3%</w:t>
            </w: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c>
          <w:tcPr>
            <w:tcW w:w="0" w:type="auto"/>
            <w:vMerge w:val="continue"/>
            <w:vAlign w:val="center"/>
          </w:tcPr>
          <w:p>
            <w:pPr>
              <w:widowControl/>
              <w:jc w:val="left"/>
              <w:rPr>
                <w:rFonts w:ascii="微软雅黑" w:hAnsi="微软雅黑" w:eastAsia="微软雅黑"/>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restart"/>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中值</w:t>
            </w: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X＞20%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4</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8</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20%＜X≤40%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3</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6</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60%＜X≤80%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2</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4</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continue"/>
            <w:vAlign w:val="center"/>
          </w:tcPr>
          <w:p>
            <w:pPr>
              <w:widowControl/>
              <w:jc w:val="left"/>
              <w:rPr>
                <w:rFonts w:ascii="微软雅黑" w:hAnsi="微软雅黑" w:eastAsia="微软雅黑"/>
                <w:color w:val="000000"/>
                <w:sz w:val="22"/>
                <w:szCs w:val="22"/>
              </w:rPr>
            </w:pP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60%＜X≤80%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1</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2</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劣值</w:t>
            </w:r>
          </w:p>
        </w:tc>
        <w:tc>
          <w:tcPr>
            <w:tcW w:w="0" w:type="auto"/>
            <w:noWrap/>
            <w:vAlign w:val="center"/>
          </w:tcPr>
          <w:p>
            <w:pPr>
              <w:widowControl/>
              <w:jc w:val="center"/>
              <w:textAlignment w:val="center"/>
              <w:rPr>
                <w:rFonts w:ascii="微软雅黑" w:hAnsi="微软雅黑" w:eastAsia="微软雅黑"/>
                <w:color w:val="000000"/>
                <w:sz w:val="18"/>
                <w:szCs w:val="18"/>
              </w:rPr>
            </w:pPr>
            <w:r>
              <w:rPr>
                <w:rFonts w:hint="eastAsia" w:ascii="微软雅黑" w:hAnsi="微软雅黑" w:eastAsia="微软雅黑"/>
                <w:color w:val="000000"/>
                <w:kern w:val="0"/>
                <w:sz w:val="18"/>
                <w:szCs w:val="18"/>
              </w:rPr>
              <w:t>X＜80%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0</w:t>
            </w:r>
          </w:p>
        </w:tc>
        <w:tc>
          <w:tcPr>
            <w:tcW w:w="0" w:type="auto"/>
            <w:noWrap/>
            <w:vAlign w:val="center"/>
          </w:tcPr>
          <w:p>
            <w:pPr>
              <w:widowControl/>
              <w:jc w:val="center"/>
              <w:textAlignment w:val="center"/>
              <w:rPr>
                <w:rFonts w:ascii="微软雅黑" w:hAnsi="微软雅黑" w:eastAsia="微软雅黑"/>
                <w:color w:val="000000"/>
                <w:sz w:val="22"/>
                <w:szCs w:val="22"/>
              </w:rPr>
            </w:pPr>
            <w:r>
              <w:rPr>
                <w:rFonts w:hint="eastAsia" w:ascii="微软雅黑" w:hAnsi="微软雅黑" w:eastAsia="微软雅黑"/>
                <w:color w:val="000000"/>
                <w:kern w:val="0"/>
                <w:sz w:val="22"/>
                <w:szCs w:val="22"/>
              </w:rPr>
              <w:t>0</w:t>
            </w:r>
          </w:p>
        </w:tc>
      </w:tr>
    </w:tbl>
    <w:p>
      <w:pPr>
        <w:pStyle w:val="13"/>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表2 场站运行业绩指标评价方式</w:t>
      </w:r>
    </w:p>
    <w:p>
      <w:pPr>
        <w:spacing w:line="360" w:lineRule="auto"/>
        <w:outlineLvl w:val="0"/>
        <w:rPr>
          <w:rFonts w:ascii="黑体" w:hAnsi="黑体" w:eastAsia="黑体"/>
          <w:b/>
          <w:sz w:val="28"/>
          <w:szCs w:val="28"/>
        </w:rPr>
      </w:pPr>
      <w:r>
        <w:rPr>
          <w:rFonts w:hint="eastAsia" w:ascii="黑体" w:hAnsi="黑体" w:eastAsia="黑体"/>
          <w:b/>
          <w:sz w:val="28"/>
          <w:szCs w:val="28"/>
        </w:rPr>
        <w:t>三、场站运行业绩综合指标</w:t>
      </w:r>
    </w:p>
    <w:p>
      <w:pPr>
        <w:spacing w:line="360" w:lineRule="auto"/>
        <w:ind w:firstLine="42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202×年××月××日至202×年××月××日，通过各个风电场机组主要运行指标得出××月场站运行业绩指标情况，如表××所示，××区域本月评分××分，整体情况为×××××××××××××××××，设备整体运行情况良好。</w:t>
      </w:r>
    </w:p>
    <w:p>
      <w:pPr>
        <w:pStyle w:val="13"/>
        <w:spacing w:line="240" w:lineRule="auto"/>
        <w:jc w:val="center"/>
        <w:rPr>
          <w:rFonts w:ascii="Times New Roman" w:hAnsi="Times New Roman"/>
          <w:color w:val="FF0000"/>
        </w:rPr>
      </w:pPr>
      <w:r>
        <w:drawing>
          <wp:inline distT="0" distB="0" distL="0" distR="0">
            <wp:extent cx="4839970" cy="2774950"/>
            <wp:effectExtent l="0" t="0" r="0" b="0"/>
            <wp:docPr id="12" name="图片 12" descr="C:\Users\29810\AppData\Local\Temp\ksohtml73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29810\AppData\Local\Temp\ksohtml7316\wps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39970" cy="2774950"/>
                    </a:xfrm>
                    <a:prstGeom prst="rect">
                      <a:avLst/>
                    </a:prstGeom>
                    <a:noFill/>
                    <a:ln>
                      <a:noFill/>
                    </a:ln>
                  </pic:spPr>
                </pic:pic>
              </a:graphicData>
            </a:graphic>
          </wp:inline>
        </w:drawing>
      </w:r>
      <w:r>
        <w:t xml:space="preserve"> </w:t>
      </w:r>
    </w:p>
    <w:p>
      <w:pPr>
        <w:pStyle w:val="13"/>
        <w:jc w:val="center"/>
      </w:pPr>
      <w:r>
        <w:rPr>
          <w:rFonts w:hint="eastAsia" w:ascii="华文仿宋" w:hAnsi="华文仿宋" w:eastAsia="华文仿宋" w:cs="等线"/>
          <w:color w:val="000000"/>
          <w:kern w:val="0"/>
          <w:sz w:val="24"/>
          <w:szCs w:val="24"/>
        </w:rPr>
        <w:t>图1  ××区域风电场202×年××月运行业绩综合指标得分情况</w:t>
      </w:r>
    </w:p>
    <w:p>
      <w:pPr>
        <w:numPr>
          <w:ilvl w:val="0"/>
          <w:numId w:val="33"/>
        </w:numPr>
        <w:adjustRightInd/>
        <w:spacing w:line="360" w:lineRule="auto"/>
        <w:outlineLvl w:val="1"/>
        <w:rPr>
          <w:rFonts w:ascii="黑体" w:hAnsi="黑体" w:eastAsia="黑体"/>
          <w:b/>
          <w:sz w:val="28"/>
          <w:szCs w:val="28"/>
        </w:rPr>
      </w:pPr>
      <w:r>
        <w:rPr>
          <w:rFonts w:hint="eastAsia" w:ascii="黑体" w:hAnsi="黑体" w:eastAsia="黑体"/>
          <w:b/>
          <w:sz w:val="28"/>
          <w:szCs w:val="28"/>
        </w:rPr>
        <w:t>安全性指标</w:t>
      </w:r>
    </w:p>
    <w:p>
      <w:pPr>
        <w:numPr>
          <w:ilvl w:val="0"/>
          <w:numId w:val="34"/>
        </w:numPr>
        <w:adjustRightInd/>
        <w:spacing w:line="360" w:lineRule="auto"/>
        <w:outlineLvl w:val="2"/>
        <w:rPr>
          <w:rFonts w:ascii="黑体" w:hAnsi="黑体" w:eastAsia="黑体"/>
          <w:b/>
          <w:sz w:val="28"/>
          <w:szCs w:val="28"/>
        </w:rPr>
      </w:pPr>
      <w:r>
        <w:rPr>
          <w:rFonts w:hint="eastAsia" w:ascii="黑体" w:hAnsi="黑体" w:eastAsia="黑体"/>
          <w:b/>
          <w:sz w:val="28"/>
          <w:szCs w:val="28"/>
        </w:rPr>
        <w:t>安全事故事件次数指标</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××区域202×年××月未发生设备质量事故事件，各风场得分均为满分。</w:t>
      </w:r>
    </w:p>
    <w:p>
      <w:pPr>
        <w:pStyle w:val="13"/>
        <w:spacing w:line="240" w:lineRule="auto"/>
        <w:jc w:val="center"/>
        <w:rPr>
          <w:rFonts w:ascii="华文仿宋" w:hAnsi="华文仿宋" w:eastAsia="华文仿宋"/>
        </w:rPr>
      </w:pPr>
      <w:r>
        <w:drawing>
          <wp:inline distT="0" distB="0" distL="0" distR="0">
            <wp:extent cx="5518150" cy="2900680"/>
            <wp:effectExtent l="0" t="0" r="0" b="0"/>
            <wp:docPr id="13" name="图片 13" descr="C:\Users\29810\AppData\Local\Temp\ksohtml7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29810\AppData\Local\Temp\ksohtml7316\wps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518150" cy="2900680"/>
                    </a:xfrm>
                    <a:prstGeom prst="rect">
                      <a:avLst/>
                    </a:prstGeom>
                    <a:noFill/>
                    <a:ln>
                      <a:noFill/>
                    </a:ln>
                  </pic:spPr>
                </pic:pic>
              </a:graphicData>
            </a:graphic>
          </wp:inline>
        </w:drawing>
      </w:r>
      <w:r>
        <w:rPr>
          <w:rFonts w:hint="eastAsia" w:ascii="华文仿宋" w:hAnsi="华文仿宋" w:eastAsia="华文仿宋"/>
        </w:rPr>
        <w:t xml:space="preserve"> </w:t>
      </w:r>
    </w:p>
    <w:p>
      <w:pPr>
        <w:pStyle w:val="13"/>
        <w:spacing w:line="360" w:lineRule="auto"/>
        <w:jc w:val="center"/>
        <w:rPr>
          <w:rFonts w:ascii="华文仿宋" w:hAnsi="华文仿宋" w:eastAsia="华文仿宋"/>
        </w:rPr>
      </w:pPr>
      <w:r>
        <w:rPr>
          <w:rFonts w:hint="eastAsia" w:ascii="华文仿宋" w:hAnsi="华文仿宋" w:eastAsia="华文仿宋" w:cs="等线"/>
          <w:color w:val="000000"/>
          <w:kern w:val="0"/>
          <w:sz w:val="24"/>
          <w:szCs w:val="24"/>
        </w:rPr>
        <w:t>图2  ××区域××月事故事件指标情况</w:t>
      </w:r>
    </w:p>
    <w:p>
      <w:pPr>
        <w:numPr>
          <w:ilvl w:val="0"/>
          <w:numId w:val="34"/>
        </w:numPr>
        <w:adjustRightInd/>
        <w:spacing w:line="360" w:lineRule="auto"/>
        <w:outlineLvl w:val="2"/>
        <w:rPr>
          <w:rFonts w:ascii="黑体" w:hAnsi="黑体" w:eastAsia="黑体"/>
          <w:b/>
          <w:sz w:val="28"/>
          <w:szCs w:val="28"/>
        </w:rPr>
      </w:pPr>
      <w:r>
        <w:rPr>
          <w:rFonts w:hint="eastAsia" w:ascii="黑体" w:hAnsi="黑体" w:eastAsia="黑体"/>
          <w:b/>
          <w:sz w:val="28"/>
          <w:szCs w:val="28"/>
        </w:rPr>
        <w:t>百公里设备跳闸次数指标</w:t>
      </w:r>
    </w:p>
    <w:p>
      <w:pPr>
        <w:spacing w:line="360" w:lineRule="auto"/>
        <w:ind w:firstLine="42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××区域202×年××月未发生跳闸事件，各风场得分均为满分。</w:t>
      </w:r>
    </w:p>
    <w:p>
      <w:pPr>
        <w:pStyle w:val="13"/>
        <w:spacing w:line="240" w:lineRule="auto"/>
        <w:jc w:val="center"/>
        <w:rPr>
          <w:rFonts w:ascii="Times New Roman" w:hAnsi="Times New Roman"/>
          <w:color w:val="FF0000"/>
        </w:rPr>
      </w:pPr>
      <w:r>
        <w:drawing>
          <wp:inline distT="0" distB="0" distL="0" distR="0">
            <wp:extent cx="5313045" cy="2821940"/>
            <wp:effectExtent l="0" t="0" r="0" b="0"/>
            <wp:docPr id="14" name="图片 14" descr="C:\Users\29810\AppData\Local\Temp\ksohtml73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29810\AppData\Local\Temp\ksohtml7316\wps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13045" cy="2821940"/>
                    </a:xfrm>
                    <a:prstGeom prst="rect">
                      <a:avLst/>
                    </a:prstGeom>
                    <a:noFill/>
                    <a:ln>
                      <a:noFill/>
                    </a:ln>
                  </pic:spPr>
                </pic:pic>
              </a:graphicData>
            </a:graphic>
          </wp:inline>
        </w:drawing>
      </w:r>
      <w: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图3  ××区域××月百公里设备跳闸次数指标情况</w:t>
      </w:r>
    </w:p>
    <w:p>
      <w:pPr>
        <w:numPr>
          <w:ilvl w:val="0"/>
          <w:numId w:val="33"/>
        </w:numPr>
        <w:adjustRightInd/>
        <w:spacing w:line="360" w:lineRule="auto"/>
        <w:outlineLvl w:val="1"/>
        <w:rPr>
          <w:rFonts w:ascii="黑体" w:hAnsi="黑体" w:eastAsia="黑体"/>
          <w:b/>
          <w:sz w:val="28"/>
          <w:szCs w:val="28"/>
        </w:rPr>
      </w:pPr>
      <w:r>
        <w:rPr>
          <w:rFonts w:hint="eastAsia" w:ascii="黑体" w:hAnsi="黑体" w:eastAsia="黑体"/>
          <w:b/>
          <w:sz w:val="28"/>
          <w:szCs w:val="28"/>
        </w:rPr>
        <w:t>可靠性指标</w:t>
      </w:r>
    </w:p>
    <w:p>
      <w:pPr>
        <w:numPr>
          <w:ilvl w:val="0"/>
          <w:numId w:val="35"/>
        </w:numPr>
        <w:adjustRightInd/>
        <w:spacing w:line="360" w:lineRule="auto"/>
        <w:outlineLvl w:val="2"/>
        <w:rPr>
          <w:rFonts w:ascii="黑体" w:hAnsi="黑体" w:eastAsia="黑体"/>
          <w:b/>
          <w:sz w:val="28"/>
          <w:szCs w:val="28"/>
        </w:rPr>
      </w:pPr>
      <w:r>
        <w:rPr>
          <w:rFonts w:hint="eastAsia" w:ascii="黑体" w:hAnsi="黑体" w:eastAsia="黑体"/>
          <w:b/>
          <w:sz w:val="28"/>
          <w:szCs w:val="28"/>
        </w:rPr>
        <w:t>TBA</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××区域202×年××月TBA指标平均得分××分，机组运行较为稳定。其中较好的是××风电场为××分，经验为×××；低于区域平均值的是××风电场为××分，原因为×××××××，建议××××××××。</w:t>
      </w:r>
    </w:p>
    <w:p>
      <w:pPr>
        <w:pStyle w:val="13"/>
        <w:spacing w:line="240" w:lineRule="auto"/>
        <w:jc w:val="center"/>
      </w:pPr>
      <w:r>
        <w:drawing>
          <wp:inline distT="0" distB="0" distL="0" distR="0">
            <wp:extent cx="4682490" cy="2759075"/>
            <wp:effectExtent l="0" t="0" r="0" b="0"/>
            <wp:docPr id="15" name="图片 15" descr="C:\Users\29810\AppData\Local\Temp\ksohtml73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29810\AppData\Local\Temp\ksohtml7316\wps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682490" cy="2759075"/>
                    </a:xfrm>
                    <a:prstGeom prst="rect">
                      <a:avLst/>
                    </a:prstGeom>
                    <a:noFill/>
                    <a:ln>
                      <a:noFill/>
                    </a:ln>
                  </pic:spPr>
                </pic:pic>
              </a:graphicData>
            </a:graphic>
          </wp:inline>
        </w:drawing>
      </w:r>
      <w: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图4  ××区域风电场202×年××月TBA指标情况</w:t>
      </w:r>
    </w:p>
    <w:p>
      <w:pPr>
        <w:numPr>
          <w:ilvl w:val="0"/>
          <w:numId w:val="36"/>
        </w:numPr>
        <w:adjustRightInd/>
        <w:spacing w:line="360" w:lineRule="auto"/>
        <w:outlineLvl w:val="2"/>
        <w:rPr>
          <w:rFonts w:ascii="Arial" w:hAnsi="Arial"/>
          <w:sz w:val="24"/>
          <w:szCs w:val="24"/>
        </w:rPr>
      </w:pPr>
      <w:r>
        <w:rPr>
          <w:rFonts w:hint="eastAsia" w:ascii="黑体" w:hAnsi="黑体" w:eastAsia="黑体"/>
          <w:b/>
          <w:sz w:val="28"/>
          <w:szCs w:val="28"/>
        </w:rPr>
        <w:t>MTBF</w:t>
      </w:r>
    </w:p>
    <w:p>
      <w:pPr>
        <w:spacing w:line="360" w:lineRule="auto"/>
        <w:ind w:firstLine="42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××区域202×年××月MTBF指标平均得分××分，机组运行较为稳定。其中较好的是××风电场为××分，经验为×××××××××；低于区域平均值的是××风电场为××分，原因为×××××，建议×××××。</w:t>
      </w:r>
    </w:p>
    <w:p>
      <w:pPr>
        <w:spacing w:line="360" w:lineRule="auto"/>
        <w:jc w:val="center"/>
        <w:rPr>
          <w:rFonts w:ascii="黑体" w:hAnsi="黑体" w:eastAsia="黑体"/>
          <w:b/>
          <w:sz w:val="28"/>
          <w:szCs w:val="28"/>
        </w:rPr>
      </w:pPr>
      <w:r>
        <w:drawing>
          <wp:inline distT="0" distB="0" distL="0" distR="0">
            <wp:extent cx="4572000" cy="2727325"/>
            <wp:effectExtent l="0" t="0" r="0" b="0"/>
            <wp:docPr id="16" name="图片 16" descr="C:\Users\29810\AppData\Local\Temp\ksohtml73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9810\AppData\Local\Temp\ksohtml7316\wps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572000" cy="2727325"/>
                    </a:xfrm>
                    <a:prstGeom prst="rect">
                      <a:avLst/>
                    </a:prstGeom>
                    <a:noFill/>
                    <a:ln>
                      <a:noFill/>
                    </a:ln>
                  </pic:spPr>
                </pic:pic>
              </a:graphicData>
            </a:graphic>
          </wp:inline>
        </w:drawing>
      </w:r>
      <w:r>
        <w:rPr>
          <w:rFonts w:hint="eastAsia" w:ascii="黑体" w:hAnsi="黑体" w:eastAsia="黑体"/>
          <w:b/>
          <w:sz w:val="28"/>
          <w:szCs w:val="28"/>
        </w:rP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图5  ××区域风电场202×年××月MTBF指标情况</w:t>
      </w:r>
    </w:p>
    <w:p>
      <w:pPr>
        <w:numPr>
          <w:ilvl w:val="0"/>
          <w:numId w:val="36"/>
        </w:numPr>
        <w:adjustRightInd/>
        <w:spacing w:line="360" w:lineRule="auto"/>
        <w:outlineLvl w:val="2"/>
        <w:rPr>
          <w:rFonts w:ascii="黑体" w:hAnsi="黑体" w:eastAsia="黑体"/>
          <w:b/>
          <w:sz w:val="28"/>
          <w:szCs w:val="28"/>
        </w:rPr>
      </w:pPr>
      <w:r>
        <w:rPr>
          <w:rFonts w:hint="eastAsia" w:ascii="黑体" w:hAnsi="黑体" w:eastAsia="黑体"/>
          <w:b/>
          <w:sz w:val="28"/>
          <w:szCs w:val="28"/>
        </w:rPr>
        <w:t>MT</w:t>
      </w:r>
      <w:r>
        <w:rPr>
          <w:rFonts w:ascii="黑体" w:hAnsi="黑体" w:eastAsia="黑体"/>
          <w:b/>
          <w:sz w:val="28"/>
          <w:szCs w:val="28"/>
        </w:rPr>
        <w:t>TR</w:t>
      </w:r>
    </w:p>
    <w:p>
      <w:pPr>
        <w:spacing w:line="360" w:lineRule="auto"/>
        <w:ind w:firstLine="420"/>
        <w:rPr>
          <w:rFonts w:ascii="Arial" w:hAnsi="Arial" w:eastAsia="华文仿宋"/>
          <w:sz w:val="24"/>
          <w:szCs w:val="24"/>
        </w:rPr>
      </w:pPr>
      <w:r>
        <w:rPr>
          <w:rFonts w:hint="eastAsia" w:ascii="华文仿宋" w:hAnsi="华文仿宋" w:eastAsia="华文仿宋" w:cs="等线"/>
          <w:color w:val="000000"/>
          <w:kern w:val="0"/>
          <w:sz w:val="28"/>
          <w:szCs w:val="28"/>
        </w:rPr>
        <w:t>××区域202×年××月MTTR指标平均得分××分，机组运行较为稳定。其中较好的是××风电场为××分，经验为××××××；低于区域平均值的是××风电场为××分，原因为××××××，建议××××××。</w:t>
      </w:r>
    </w:p>
    <w:p>
      <w:pPr>
        <w:spacing w:line="360" w:lineRule="auto"/>
        <w:jc w:val="center"/>
        <w:rPr>
          <w:rFonts w:ascii="黑体" w:hAnsi="黑体" w:eastAsia="黑体"/>
          <w:b/>
          <w:sz w:val="28"/>
          <w:szCs w:val="28"/>
        </w:rPr>
      </w:pPr>
      <w:r>
        <w:drawing>
          <wp:inline distT="0" distB="0" distL="0" distR="0">
            <wp:extent cx="4745355" cy="2790190"/>
            <wp:effectExtent l="0" t="0" r="0" b="0"/>
            <wp:docPr id="17" name="图片 17" descr="C:\Users\29810\AppData\Local\Temp\ksohtml73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29810\AppData\Local\Temp\ksohtml7316\wps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745355" cy="2790190"/>
                    </a:xfrm>
                    <a:prstGeom prst="rect">
                      <a:avLst/>
                    </a:prstGeom>
                    <a:noFill/>
                    <a:ln>
                      <a:noFill/>
                    </a:ln>
                  </pic:spPr>
                </pic:pic>
              </a:graphicData>
            </a:graphic>
          </wp:inline>
        </w:drawing>
      </w:r>
      <w:r>
        <w:rPr>
          <w:rFonts w:hint="eastAsia" w:ascii="黑体" w:hAnsi="黑体" w:eastAsia="黑体"/>
          <w:b/>
          <w:sz w:val="28"/>
          <w:szCs w:val="28"/>
        </w:rP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图6  ××区域风电场202×年××月MTTR指标情况</w:t>
      </w:r>
    </w:p>
    <w:p>
      <w:pPr>
        <w:numPr>
          <w:ilvl w:val="0"/>
          <w:numId w:val="36"/>
        </w:numPr>
        <w:adjustRightInd/>
        <w:spacing w:line="360" w:lineRule="auto"/>
        <w:outlineLvl w:val="2"/>
        <w:rPr>
          <w:rFonts w:ascii="黑体" w:hAnsi="黑体" w:eastAsia="黑体"/>
          <w:b/>
          <w:sz w:val="28"/>
          <w:szCs w:val="28"/>
        </w:rPr>
      </w:pPr>
      <w:r>
        <w:rPr>
          <w:rFonts w:hint="eastAsia" w:ascii="黑体" w:hAnsi="黑体" w:eastAsia="黑体"/>
          <w:b/>
          <w:sz w:val="28"/>
          <w:szCs w:val="28"/>
        </w:rPr>
        <w:t>单位容量大部件更换次数</w:t>
      </w:r>
    </w:p>
    <w:p>
      <w:pPr>
        <w:spacing w:line="360" w:lineRule="auto"/>
        <w:ind w:firstLine="42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区域202×年××月××风电场更换××发电机××台，得分为××分，其余风电场未发生大部件更换，得分均为××分。其中较好的是××风电场为××分，经验为××××××××××；低于区域平均值的是××风电场为××分，原因为××××××，建议××××××。</w:t>
      </w:r>
    </w:p>
    <w:p>
      <w:pPr>
        <w:spacing w:line="360" w:lineRule="auto"/>
        <w:jc w:val="center"/>
        <w:rPr>
          <w:rFonts w:ascii="黑体" w:hAnsi="黑体" w:eastAsia="黑体"/>
          <w:b/>
          <w:sz w:val="28"/>
          <w:szCs w:val="28"/>
        </w:rPr>
      </w:pPr>
      <w:r>
        <w:drawing>
          <wp:inline distT="0" distB="0" distL="0" distR="0">
            <wp:extent cx="4572000" cy="2223135"/>
            <wp:effectExtent l="0" t="0" r="0" b="0"/>
            <wp:docPr id="18" name="图片 18" descr="C:\Users\29810\AppData\Local\Temp\ksohtml73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29810\AppData\Local\Temp\ksohtml7316\wps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572000" cy="2223135"/>
                    </a:xfrm>
                    <a:prstGeom prst="rect">
                      <a:avLst/>
                    </a:prstGeom>
                    <a:noFill/>
                    <a:ln>
                      <a:noFill/>
                    </a:ln>
                  </pic:spPr>
                </pic:pic>
              </a:graphicData>
            </a:graphic>
          </wp:inline>
        </w:drawing>
      </w:r>
      <w:r>
        <w:rPr>
          <w:rFonts w:hint="eastAsia" w:ascii="黑体" w:hAnsi="黑体" w:eastAsia="黑体"/>
          <w:b/>
          <w:sz w:val="28"/>
          <w:szCs w:val="28"/>
        </w:rP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图7  ××区域风电场202×年××月单位容量大部件更换次数指标情况</w:t>
      </w:r>
    </w:p>
    <w:p>
      <w:pPr>
        <w:numPr>
          <w:ilvl w:val="0"/>
          <w:numId w:val="36"/>
        </w:numPr>
        <w:adjustRightInd/>
        <w:spacing w:line="360" w:lineRule="auto"/>
        <w:outlineLvl w:val="2"/>
        <w:rPr>
          <w:rFonts w:ascii="黑体" w:hAnsi="黑体" w:eastAsia="黑体"/>
          <w:b/>
          <w:sz w:val="28"/>
          <w:szCs w:val="28"/>
        </w:rPr>
      </w:pPr>
      <w:r>
        <w:rPr>
          <w:rFonts w:hint="eastAsia" w:ascii="黑体" w:hAnsi="黑体" w:eastAsia="黑体"/>
          <w:b/>
          <w:sz w:val="28"/>
          <w:szCs w:val="28"/>
        </w:rPr>
        <w:t>单位容量长停次数</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分公司202×年××月牟定因更换××发电机××台，导致停机超过××天，得分为××分，其余风电场未发生长停，得分均为××分。其中较好的是××风电场为××分，经验为×××××××；低于区域平均值的是××风电场为××分，原因为×××××××，建议××××××××。</w:t>
      </w:r>
    </w:p>
    <w:p>
      <w:pPr>
        <w:spacing w:line="360" w:lineRule="auto"/>
        <w:jc w:val="center"/>
        <w:rPr>
          <w:rFonts w:ascii="黑体" w:hAnsi="黑体" w:eastAsia="黑体"/>
          <w:b/>
          <w:sz w:val="28"/>
          <w:szCs w:val="28"/>
        </w:rPr>
      </w:pPr>
      <w:r>
        <w:drawing>
          <wp:inline distT="0" distB="0" distL="0" distR="0">
            <wp:extent cx="4572000" cy="1907540"/>
            <wp:effectExtent l="0" t="0" r="0" b="0"/>
            <wp:docPr id="19" name="图片 19" descr="C:\Users\29810\AppData\Local\Temp\ksohtml73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29810\AppData\Local\Temp\ksohtml7316\wps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572000" cy="1907540"/>
                    </a:xfrm>
                    <a:prstGeom prst="rect">
                      <a:avLst/>
                    </a:prstGeom>
                    <a:noFill/>
                    <a:ln>
                      <a:noFill/>
                    </a:ln>
                  </pic:spPr>
                </pic:pic>
              </a:graphicData>
            </a:graphic>
          </wp:inline>
        </w:drawing>
      </w:r>
      <w:r>
        <w:rPr>
          <w:rFonts w:hint="eastAsia" w:ascii="黑体" w:hAnsi="黑体" w:eastAsia="黑体"/>
          <w:b/>
          <w:sz w:val="28"/>
          <w:szCs w:val="28"/>
        </w:rP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图8  ××区域风电场202×年××月单位容量长停件更换次数指标情况</w:t>
      </w:r>
    </w:p>
    <w:p>
      <w:pPr>
        <w:numPr>
          <w:ilvl w:val="0"/>
          <w:numId w:val="33"/>
        </w:numPr>
        <w:adjustRightInd/>
        <w:spacing w:line="360" w:lineRule="auto"/>
        <w:outlineLvl w:val="1"/>
        <w:rPr>
          <w:rFonts w:ascii="黑体" w:hAnsi="黑体" w:eastAsia="黑体"/>
          <w:b/>
          <w:sz w:val="28"/>
          <w:szCs w:val="28"/>
        </w:rPr>
      </w:pPr>
      <w:r>
        <w:rPr>
          <w:rFonts w:hint="eastAsia" w:ascii="黑体" w:hAnsi="黑体" w:eastAsia="黑体"/>
          <w:b/>
          <w:sz w:val="28"/>
          <w:szCs w:val="28"/>
        </w:rPr>
        <w:t>效能指标</w:t>
      </w:r>
    </w:p>
    <w:p>
      <w:pPr>
        <w:numPr>
          <w:ilvl w:val="0"/>
          <w:numId w:val="37"/>
        </w:numPr>
        <w:adjustRightInd/>
        <w:spacing w:line="360" w:lineRule="auto"/>
        <w:outlineLvl w:val="2"/>
        <w:rPr>
          <w:rFonts w:ascii="黑体" w:hAnsi="黑体" w:eastAsia="黑体"/>
          <w:b/>
          <w:sz w:val="28"/>
          <w:szCs w:val="28"/>
        </w:rPr>
      </w:pPr>
      <w:r>
        <w:rPr>
          <w:rFonts w:hint="eastAsia" w:ascii="黑体" w:hAnsi="黑体" w:eastAsia="黑体"/>
          <w:b/>
          <w:sz w:val="28"/>
          <w:szCs w:val="28"/>
        </w:rPr>
        <w:t>等效小时数偏差</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区域202×年××月等效小时数偏差指标平均××分，区域整体相比于过去三年发电量不佳，其中×××等效小时数偏差较大，低于××分。其中较好的是××风电场为××分，经验为××××××；低于区域平均值的是××风电场为××分，原因为××××××，建议××××××。</w:t>
      </w:r>
    </w:p>
    <w:p>
      <w:pPr>
        <w:pStyle w:val="13"/>
        <w:spacing w:line="240" w:lineRule="auto"/>
        <w:jc w:val="center"/>
      </w:pPr>
      <w:r>
        <w:drawing>
          <wp:inline distT="0" distB="0" distL="0" distR="0">
            <wp:extent cx="4572000" cy="2128520"/>
            <wp:effectExtent l="0" t="0" r="0" b="0"/>
            <wp:docPr id="20" name="图片 20" descr="C:\Users\29810\AppData\Local\Temp\ksohtml73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29810\AppData\Local\Temp\ksohtml7316\wps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572000" cy="2128520"/>
                    </a:xfrm>
                    <a:prstGeom prst="rect">
                      <a:avLst/>
                    </a:prstGeom>
                    <a:noFill/>
                    <a:ln>
                      <a:noFill/>
                    </a:ln>
                  </pic:spPr>
                </pic:pic>
              </a:graphicData>
            </a:graphic>
          </wp:inline>
        </w:drawing>
      </w:r>
      <w:r>
        <w:t xml:space="preserve"> </w:t>
      </w:r>
    </w:p>
    <w:p>
      <w:pPr>
        <w:pStyle w:val="13"/>
        <w:spacing w:line="360" w:lineRule="auto"/>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图9  ××区域风电场202×年××月等效小时数偏差指标得分情况</w:t>
      </w:r>
    </w:p>
    <w:p>
      <w:pPr>
        <w:numPr>
          <w:ilvl w:val="0"/>
          <w:numId w:val="37"/>
        </w:numPr>
        <w:adjustRightInd/>
        <w:spacing w:line="360" w:lineRule="auto"/>
        <w:outlineLvl w:val="2"/>
        <w:rPr>
          <w:rFonts w:ascii="黑体" w:hAnsi="黑体" w:eastAsia="黑体"/>
          <w:b/>
          <w:sz w:val="28"/>
          <w:szCs w:val="28"/>
        </w:rPr>
      </w:pPr>
      <w:r>
        <w:rPr>
          <w:rFonts w:hint="eastAsia" w:ascii="黑体" w:hAnsi="黑体" w:eastAsia="黑体"/>
          <w:b/>
          <w:sz w:val="28"/>
          <w:szCs w:val="28"/>
        </w:rPr>
        <w:t>EBA值</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区域202×年××月EBA偏差率指标平均××分，其中××风电场的×××机组EBA偏差较小，×××偏差较大，低于××分。其中较好的是××风电场为××分，经验为×××××××；低于区域平均值的是××风电场为××分，原因为××××××，建议××××××。</w:t>
      </w:r>
    </w:p>
    <w:p>
      <w:pPr>
        <w:pStyle w:val="13"/>
        <w:spacing w:line="240" w:lineRule="auto"/>
        <w:jc w:val="center"/>
      </w:pPr>
      <w:r>
        <w:drawing>
          <wp:inline distT="0" distB="0" distL="0" distR="0">
            <wp:extent cx="4587875" cy="2522220"/>
            <wp:effectExtent l="0" t="0" r="0" b="0"/>
            <wp:docPr id="21" name="图片 21" descr="C:\Users\29810\AppData\Local\Temp\ksohtml73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29810\AppData\Local\Temp\ksohtml7316\wps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587875" cy="2522220"/>
                    </a:xfrm>
                    <a:prstGeom prst="rect">
                      <a:avLst/>
                    </a:prstGeom>
                    <a:noFill/>
                    <a:ln>
                      <a:noFill/>
                    </a:ln>
                  </pic:spPr>
                </pic:pic>
              </a:graphicData>
            </a:graphic>
          </wp:inline>
        </w:drawing>
      </w:r>
      <w:r>
        <w:t xml:space="preserve"> </w:t>
      </w:r>
    </w:p>
    <w:p>
      <w:pPr>
        <w:pStyle w:val="13"/>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图10  ××区域风电场202×年××月EBA偏差率指标得分情况</w:t>
      </w:r>
    </w:p>
    <w:p>
      <w:pPr>
        <w:numPr>
          <w:ilvl w:val="0"/>
          <w:numId w:val="37"/>
        </w:numPr>
        <w:adjustRightInd/>
        <w:spacing w:line="360" w:lineRule="auto"/>
        <w:outlineLvl w:val="2"/>
        <w:rPr>
          <w:rFonts w:ascii="黑体" w:hAnsi="黑体" w:eastAsia="黑体"/>
          <w:b/>
          <w:sz w:val="28"/>
          <w:szCs w:val="28"/>
        </w:rPr>
      </w:pPr>
      <w:r>
        <w:rPr>
          <w:rFonts w:hint="eastAsia" w:ascii="黑体" w:hAnsi="黑体" w:eastAsia="黑体"/>
          <w:b/>
          <w:sz w:val="28"/>
          <w:szCs w:val="28"/>
        </w:rPr>
        <w:t>综合厂用电率</w:t>
      </w:r>
    </w:p>
    <w:p>
      <w:pPr>
        <w:spacing w:line="360" w:lineRule="auto"/>
        <w:ind w:firstLine="420"/>
        <w:rPr>
          <w:rFonts w:ascii="Arial" w:hAnsi="Arial"/>
          <w:sz w:val="24"/>
          <w:szCs w:val="24"/>
        </w:rPr>
      </w:pPr>
      <w:r>
        <w:rPr>
          <w:rFonts w:hint="eastAsia" w:ascii="华文仿宋" w:hAnsi="华文仿宋" w:eastAsia="华文仿宋" w:cs="等线"/>
          <w:color w:val="000000"/>
          <w:kern w:val="0"/>
          <w:sz w:val="28"/>
          <w:szCs w:val="28"/>
        </w:rPr>
        <w:t>××区域202×年××月综合厂用电率指标平均××分，其中较好的是××风电场为××分，经验为×××××××；高于区域平均值的是××风电场为××分，原因为××××××，建议××××××。</w:t>
      </w:r>
    </w:p>
    <w:p>
      <w:pPr>
        <w:pStyle w:val="13"/>
        <w:spacing w:line="240" w:lineRule="auto"/>
        <w:jc w:val="center"/>
      </w:pPr>
      <w:r>
        <w:drawing>
          <wp:inline distT="0" distB="0" distL="0" distR="0">
            <wp:extent cx="3815080" cy="2348865"/>
            <wp:effectExtent l="0" t="0" r="0" b="0"/>
            <wp:docPr id="22" name="图片 22" descr="C:\Users\29810\AppData\Local\Temp\ksohtml73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29810\AppData\Local\Temp\ksohtml7316\wps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815080" cy="2348865"/>
                    </a:xfrm>
                    <a:prstGeom prst="rect">
                      <a:avLst/>
                    </a:prstGeom>
                    <a:noFill/>
                    <a:ln>
                      <a:noFill/>
                    </a:ln>
                  </pic:spPr>
                </pic:pic>
              </a:graphicData>
            </a:graphic>
          </wp:inline>
        </w:drawing>
      </w:r>
      <w:r>
        <w:t xml:space="preserve"> </w:t>
      </w:r>
    </w:p>
    <w:p>
      <w:pPr>
        <w:pStyle w:val="13"/>
        <w:jc w:val="center"/>
        <w:rPr>
          <w:rFonts w:ascii="华文仿宋" w:hAnsi="华文仿宋" w:eastAsia="华文仿宋" w:cs="等线"/>
          <w:color w:val="000000"/>
          <w:kern w:val="0"/>
          <w:sz w:val="24"/>
          <w:szCs w:val="24"/>
        </w:rPr>
      </w:pPr>
      <w:r>
        <w:rPr>
          <w:rFonts w:hint="eastAsia" w:ascii="华文仿宋" w:hAnsi="华文仿宋" w:eastAsia="华文仿宋" w:cs="等线"/>
          <w:color w:val="000000"/>
          <w:kern w:val="0"/>
          <w:sz w:val="24"/>
          <w:szCs w:val="24"/>
        </w:rPr>
        <w:t>图12  ××区域风电场202×年××月综合厂用电率指标得分情况</w:t>
      </w:r>
    </w:p>
    <w:p>
      <w:pPr>
        <w:spacing w:line="360" w:lineRule="auto"/>
        <w:outlineLvl w:val="0"/>
        <w:rPr>
          <w:rFonts w:ascii="黑体" w:hAnsi="黑体" w:eastAsia="黑体"/>
          <w:b/>
          <w:sz w:val="28"/>
          <w:szCs w:val="28"/>
        </w:rPr>
      </w:pPr>
      <w:r>
        <w:rPr>
          <w:rFonts w:hint="eastAsia" w:ascii="黑体" w:hAnsi="黑体" w:eastAsia="黑体"/>
          <w:b/>
          <w:sz w:val="28"/>
          <w:szCs w:val="28"/>
        </w:rPr>
        <w:t>四、总结</w:t>
      </w:r>
    </w:p>
    <w:p>
      <w:pPr>
        <w:spacing w:line="360" w:lineRule="auto"/>
        <w:ind w:firstLine="420"/>
        <w:rPr>
          <w:rFonts w:ascii="华文仿宋" w:hAnsi="华文仿宋" w:eastAsia="华文仿宋" w:cs="等线"/>
          <w:color w:val="000000"/>
          <w:kern w:val="0"/>
          <w:sz w:val="28"/>
          <w:szCs w:val="28"/>
        </w:rPr>
      </w:pPr>
      <w:r>
        <w:rPr>
          <w:rFonts w:hint="eastAsia" w:ascii="华文仿宋" w:hAnsi="华文仿宋" w:eastAsia="华文仿宋" w:cs="等线"/>
          <w:color w:val="000000"/>
          <w:kern w:val="0"/>
          <w:sz w:val="28"/>
          <w:szCs w:val="28"/>
        </w:rPr>
        <w:t>××区域综合指标平均分为××，××场站运行业绩较好，总分超过了××分，××场站机组运行质量相比不佳。但总体来说，得分均超过××分，××最低为××分，××得分最高，为××分。整体来看效能指标拉开的差距较大，主要因××月区域来风较小，导致发电量较低，建议措施××××××××××。</w:t>
      </w:r>
    </w:p>
    <w:sectPr>
      <w:headerReference r:id="rId22" w:type="default"/>
      <w:footerReference r:id="rId24" w:type="default"/>
      <w:headerReference r:id="rId23" w:type="even"/>
      <w:footerReference r:id="rId25" w:type="even"/>
      <w:pgSz w:w="11906" w:h="16838"/>
      <w:pgMar w:top="1928" w:right="1134" w:bottom="1134" w:left="1134" w:header="1418" w:footer="1134" w:gutter="284"/>
      <w:pgBorders>
        <w:top w:val="none" w:sz="0" w:space="0"/>
        <w:left w:val="none" w:sz="0" w:space="0"/>
        <w:bottom w:val="none" w:sz="0" w:space="0"/>
        <w:right w:val="none" w:sz="0" w:space="0"/>
      </w:pgBorders>
      <w:pgNumType w:fmt="decimal"/>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r>
      <w:rPr>
        <w:sz w:val="2"/>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45415" cy="1543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4541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15pt;width:11.45pt;mso-position-horizontal:right;mso-position-horizontal-relative:margin;z-index:251664384;mso-width-relative:page;mso-height-relative:page;" filled="f" stroked="f" coordsize="21600,21600" o:gfxdata="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7EzFjXAAAABwEAAA8AAAAAAAAAAQAgAAAAIgAAAGRycy9kb3ducmV2&#10;LnhtbFBLAQIUABQAAAAIAIdO4kA9Szx6NgIAAGEEAAAOAAAAAAAAAAEAIAAAACYBAABkcnMvZTJv&#10;RG9jLnhtbFBLBQYAAAAABgAGAFkBAADOBQAAAAA=&#10;">
              <v:fill on="f" focussize="0,0"/>
              <v:stroke on="f" weight="0.5pt"/>
              <v:imagedata o:title=""/>
              <o:lock v:ext="edit" aspectratio="f"/>
              <v:textbox inset="0mm,0mm,0mm,0mm">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PAGE   \* MERGEFORMAT</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k1ew1gAAAAkBAAAPAAAAAAAAAAEAIAAAACIAAABkcnMvZG93bnJldi54bWxQ&#10;SwECFAAUAAAACACHTuJA9YuHZDICAABhBAAADgAAAAAAAAABACAAAAAl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PAGE   \* MERGEFORMAT</w:instrText>
                    </w:r>
                    <w:r>
                      <w:fldChar w:fldCharType="separate"/>
                    </w:r>
                    <w:r>
                      <w:rPr>
                        <w:lang w:val="zh-CN"/>
                      </w:rPr>
                      <w:t>11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7456" behindDoc="0" locked="0" layoutInCell="1" allowOverlap="1">
              <wp:simplePos x="0" y="0"/>
              <wp:positionH relativeFrom="margin">
                <wp:posOffset>635</wp:posOffset>
              </wp:positionH>
              <wp:positionV relativeFrom="paragraph">
                <wp:posOffset>0</wp:posOffset>
              </wp:positionV>
              <wp:extent cx="5939155" cy="1625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939155" cy="162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left"/>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05pt;margin-top:0pt;height:12.8pt;width:467.65pt;mso-position-horizontal-relative:margin;z-index:251667456;mso-width-relative:page;mso-height-relative:page;" filled="f" stroked="f" coordsize="21600,21600" o:gfxdata="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4tZUtQAAAAEAQAADwAAAAAAAAABACAAAAAiAAAAZHJzL2Rvd25yZXYu&#10;eG1sUEsBAhQAFAAAAAgAh07iQLakb8Y4AgAAYgQAAA4AAAAAAAAAAQAgAAAAIwEAAGRycy9lMm9E&#10;b2MueG1sUEsFBgAAAAAGAAYAWQEAAM0FAAAAAA==&#10;">
              <v:fill on="f" focussize="0,0"/>
              <v:stroke on="f" weight="0.5pt"/>
              <v:imagedata o:title=""/>
              <o:lock v:ext="edit" aspectratio="f"/>
              <v:textbox inset="0mm,0mm,0mm,0mm">
                <w:txbxContent>
                  <w:p>
                    <w:pPr>
                      <w:pStyle w:val="17"/>
                      <w:jc w:val="left"/>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52"/>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PAGE   \* MERGEFORMAT</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PAGE   \* MERGEFORMAT</w:instrText>
                    </w:r>
                    <w:r>
                      <w:fldChar w:fldCharType="separate"/>
                    </w:r>
                    <w:r>
                      <w:rPr>
                        <w:lang w:val="zh-CN"/>
                      </w:rP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940425" cy="15430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94042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left"/>
                          </w:pPr>
                          <w:r>
                            <w:fldChar w:fldCharType="begin"/>
                          </w:r>
                          <w:r>
                            <w:instrText xml:space="preserve">PAGE   \* MERGEFORMAT</w:instrText>
                          </w:r>
                          <w:r>
                            <w:fldChar w:fldCharType="separate"/>
                          </w:r>
                          <w:r>
                            <w:rPr>
                              <w:lang w:val="zh-CN"/>
                            </w:rPr>
                            <w:t>22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15pt;width:467.75pt;mso-position-horizontal:right;mso-position-horizontal-relative:margin;z-index:251661312;mso-width-relative:page;mso-height-relative:page;" filled="f" stroked="f" coordsize="21600,21600" o:gfxdata="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CiAcbVAAAABAEAAA8AAAAAAAAAAQAgAAAAIgAAAGRycy9kb3du&#10;cmV2LnhtbFBLAQIUABQAAAAIAIdO4kDSXIR7OwIAAGQEAAAOAAAAAAAAAAEAIAAAACQBAABkcnMv&#10;ZTJvRG9jLnhtbFBLBQYAAAAABgAGAFkBAADRBQAAAAA=&#10;">
              <v:fill on="f" focussize="0,0"/>
              <v:stroke on="f" weight="0.5pt"/>
              <v:imagedata o:title=""/>
              <o:lock v:ext="edit" aspectratio="f"/>
              <v:textbox inset="0mm,0mm,0mm,0mm">
                <w:txbxContent>
                  <w:p>
                    <w:pPr>
                      <w:pStyle w:val="17"/>
                      <w:jc w:val="left"/>
                    </w:pPr>
                    <w:r>
                      <w:fldChar w:fldCharType="begin"/>
                    </w:r>
                    <w:r>
                      <w:instrText xml:space="preserve">PAGE   \* MERGEFORMAT</w:instrText>
                    </w:r>
                    <w:r>
                      <w:fldChar w:fldCharType="separate"/>
                    </w:r>
                    <w:r>
                      <w:rPr>
                        <w:lang w:val="zh-CN"/>
                      </w:rP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PAGE   \* MERGEFORMAT</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k1ew1gAAAAkBAAAPAAAAAAAAAAEAIAAAACIAAABkcnMvZG93bnJldi54bWxQ&#10;SwECFAAUAAAACACHTuJA4YDTjjICAABhBAAADgAAAAAAAAABACAAAAAl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PAGE   \* MERGEFORMAT</w:instrText>
                    </w:r>
                    <w:r>
                      <w:fldChar w:fldCharType="separate"/>
                    </w:r>
                    <w:r>
                      <w:rPr>
                        <w:lang w:val="zh-CN"/>
                      </w:rP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5408" behindDoc="0" locked="0" layoutInCell="1" allowOverlap="1">
              <wp:simplePos x="0" y="0"/>
              <wp:positionH relativeFrom="margin">
                <wp:posOffset>5715</wp:posOffset>
              </wp:positionH>
              <wp:positionV relativeFrom="paragraph">
                <wp:posOffset>0</wp:posOffset>
              </wp:positionV>
              <wp:extent cx="5934075" cy="15430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93407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left"/>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45pt;margin-top:0pt;height:12.15pt;width:467.25pt;mso-position-horizontal-relative:margin;z-index:251665408;mso-width-relative:page;mso-height-relative:page;" filled="f" stroked="f" coordsize="21600,21600" o:gfxdata="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gJLwDVAAAABAEAAA8AAAAAAAAAAQAgAAAAIgAAAGRycy9kb3du&#10;cmV2LnhtbFBLAQIUABQAAAAIAIdO4kCItqa+OwIAAGQEAAAOAAAAAAAAAAEAIAAAACQBAABkcnMv&#10;ZTJvRG9jLnhtbFBLBQYAAAAABgAGAFkBAADRBQAAAAA=&#10;">
              <v:fill on="f" focussize="0,0"/>
              <v:stroke on="f" weight="0.5pt"/>
              <v:imagedata o:title=""/>
              <o:lock v:ext="edit" aspectratio="f"/>
              <v:textbox inset="0mm,0mm,0mm,0mm">
                <w:txbxContent>
                  <w:p>
                    <w:pPr>
                      <w:pStyle w:val="17"/>
                      <w:jc w:val="left"/>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sz w:val="2"/>
        <w:szCs w:val="2"/>
      </w:rPr>
    </w:pPr>
    <w:r>
      <w:rPr>
        <w:rFonts w:hint="eastAsia" w:ascii="黑体" w:hAnsi="黑体" w:eastAsia="黑体"/>
        <w:color w:val="000000"/>
        <w:sz w:val="21"/>
        <w:szCs w:val="21"/>
        <w:shd w:val="clear" w:color="auto" w:fill="FFFFFF"/>
      </w:rPr>
      <w:t>GB/T1.1-2020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rPr>
        <w:rFonts w:hint="eastAsia" w:ascii="黑体" w:hAnsi="黑体" w:eastAsia="黑体"/>
        <w:color w:val="000000"/>
        <w:sz w:val="21"/>
        <w:szCs w:val="21"/>
        <w:shd w:val="clear" w:color="auto" w:fill="FFFFFF"/>
        <w:lang w:val="en-US" w:eastAsia="zh-CN"/>
      </w:rPr>
      <w:t>D</w:t>
    </w:r>
    <w:r>
      <w:rPr>
        <w:rFonts w:hint="eastAsia" w:ascii="黑体" w:hAnsi="黑体" w:eastAsia="黑体"/>
        <w:color w:val="000000"/>
        <w:sz w:val="21"/>
        <w:szCs w:val="21"/>
        <w:shd w:val="clear" w:color="auto" w:fill="FFFFFF"/>
      </w:rPr>
      <w:t>B</w:t>
    </w:r>
    <w:r>
      <w:rPr>
        <w:rFonts w:hint="eastAsia" w:ascii="黑体" w:hAnsi="黑体" w:eastAsia="黑体"/>
        <w:color w:val="000000"/>
        <w:sz w:val="21"/>
        <w:szCs w:val="21"/>
        <w:shd w:val="clear" w:color="auto" w:fill="FFFFFF"/>
        <w:lang w:val="en-US" w:eastAsia="zh-CN"/>
      </w:rPr>
      <w:t>42</w:t>
    </w:r>
    <w:r>
      <w:rPr>
        <w:rFonts w:hint="eastAsia" w:ascii="黑体" w:hAnsi="黑体" w:eastAsia="黑体"/>
        <w:color w:val="000000"/>
        <w:sz w:val="21"/>
        <w:szCs w:val="21"/>
        <w:shd w:val="clear" w:color="auto" w:fill="FFFFFF"/>
      </w:rPr>
      <w:t>/T</w:t>
    </w:r>
    <w:r>
      <w:rPr>
        <w:rFonts w:hint="eastAsia" w:ascii="黑体" w:hAnsi="黑体" w:eastAsia="黑体"/>
        <w:color w:val="000000"/>
        <w:sz w:val="21"/>
        <w:szCs w:val="21"/>
        <w:shd w:val="clear" w:color="auto" w:fill="FFFFFF"/>
        <w:lang w:val="en-US" w:eastAsia="zh-CN"/>
      </w:rPr>
      <w:t xml:space="preserve"> </w:t>
    </w:r>
    <w:r>
      <w:rPr>
        <w:rFonts w:hint="default" w:ascii="Arial" w:hAnsi="Arial" w:eastAsia="黑体" w:cs="Arial"/>
        <w:color w:val="000000"/>
        <w:sz w:val="21"/>
        <w:szCs w:val="21"/>
        <w:shd w:val="clear" w:color="auto" w:fill="FFFFFF"/>
      </w:rPr>
      <w:t>××××××××</w:t>
    </w:r>
    <w:r>
      <w:fldChar w:fldCharType="begin"/>
    </w:r>
    <w:r>
      <w:instrText xml:space="preserve"> STYLEREF标准文件_文件编号 \* MERGEFORMAT</w:instrTex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sz w:val="2"/>
        <w:szCs w:val="2"/>
      </w:rPr>
    </w:pPr>
    <w:r>
      <w:rPr>
        <w:rFonts w:hint="eastAsia" w:ascii="黑体" w:hAnsi="黑体" w:eastAsia="黑体"/>
        <w:color w:val="000000"/>
        <w:sz w:val="21"/>
        <w:szCs w:val="21"/>
        <w:shd w:val="clear" w:color="auto" w:fill="FFFFFF"/>
        <w:lang w:val="en-US" w:eastAsia="zh-CN"/>
      </w:rPr>
      <w:t>DB42</w:t>
    </w:r>
    <w:r>
      <w:rPr>
        <w:rFonts w:hint="eastAsia" w:ascii="黑体" w:hAnsi="黑体" w:eastAsia="黑体"/>
        <w:color w:val="000000"/>
        <w:sz w:val="21"/>
        <w:szCs w:val="21"/>
        <w:shd w:val="clear" w:color="auto" w:fill="FFFFFF"/>
      </w:rPr>
      <w:t>/T</w:t>
    </w:r>
    <w:r>
      <w:rPr>
        <w:rFonts w:hint="eastAsia" w:ascii="黑体" w:hAnsi="黑体" w:eastAsia="黑体"/>
        <w:color w:val="000000"/>
        <w:sz w:val="21"/>
        <w:szCs w:val="21"/>
        <w:shd w:val="clear" w:color="auto" w:fill="FFFFFF"/>
        <w:lang w:val="en-US" w:eastAsia="zh-CN"/>
      </w:rPr>
      <w:t xml:space="preserve"> </w:t>
    </w:r>
    <w:r>
      <w:rPr>
        <w:rFonts w:hint="default" w:ascii="Arial" w:hAnsi="Arial" w:eastAsia="黑体" w:cs="Arial"/>
        <w:color w:val="000000"/>
        <w:sz w:val="21"/>
        <w:szCs w:val="21"/>
        <w:shd w:val="clear" w:color="auto" w:fill="FFFFFF"/>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rPr>
        <w:rFonts w:hint="eastAsia" w:hAnsi="黑体"/>
        <w:color w:val="000000"/>
        <w:szCs w:val="21"/>
        <w:shd w:val="clear" w:color="auto" w:fill="FFFFFF"/>
      </w:rPr>
      <w:t>GB/T1.1-2020</w:t>
    </w:r>
    <w:r>
      <w:fldChar w:fldCharType="begin"/>
    </w:r>
    <w:r>
      <w:instrText xml:space="preserve"> STYLEREF 标准文件_文件编号 \* MERGEFORMAT</w:instrText>
    </w:r>
    <w:r>
      <w:fldChar w:fldCharType="separate"/>
    </w:r>
    <w:r>
      <w:t xml:space="preserve"> </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sz w:val="2"/>
        <w:szCs w:val="2"/>
      </w:rPr>
    </w:pPr>
    <w:r>
      <w:rPr>
        <w:rFonts w:hint="eastAsia" w:ascii="黑体" w:hAnsi="黑体" w:eastAsia="黑体"/>
        <w:color w:val="000000"/>
        <w:sz w:val="21"/>
        <w:szCs w:val="21"/>
        <w:shd w:val="clear" w:color="auto" w:fill="FFFFFF"/>
      </w:rPr>
      <w:t>GB/T1.1-2020</w:t>
    </w:r>
    <w:r>
      <w:fldChar w:fldCharType="begin"/>
    </w:r>
    <w:r>
      <w:instrText xml:space="preserve"> STYLEREF标准文件_文件编号 \* MERGEFORMAT</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5E542FD"/>
    <w:multiLevelType w:val="multilevel"/>
    <w:tmpl w:val="05E542FD"/>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6453432"/>
    <w:multiLevelType w:val="multilevel"/>
    <w:tmpl w:val="06453432"/>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rPr>
        <w:rFonts w:hint="eastAsia" w:ascii="黑体" w:hAnsi="等线" w:eastAsia="黑体"/>
        <w:b w:val="0"/>
        <w:i w:val="0"/>
        <w:sz w:val="21"/>
      </w:rPr>
    </w:lvl>
    <w:lvl w:ilvl="2" w:tentative="0">
      <w:start w:val="1"/>
      <w:numFmt w:val="decimal"/>
      <w:pStyle w:val="201"/>
      <w:suff w:val="nothing"/>
      <w:lvlText w:val="%10.%2.%3 "/>
      <w:lvlJc w:val="left"/>
      <w:rPr>
        <w:rFonts w:hint="eastAsia" w:ascii="黑体" w:hAnsi="等线" w:eastAsia="黑体"/>
        <w:b w:val="0"/>
        <w:i w:val="0"/>
        <w:sz w:val="21"/>
      </w:rPr>
    </w:lvl>
    <w:lvl w:ilvl="3" w:tentative="0">
      <w:start w:val="1"/>
      <w:numFmt w:val="decimal"/>
      <w:pStyle w:val="202"/>
      <w:suff w:val="nothing"/>
      <w:lvlText w:val="%10.%2.%3.%4 "/>
      <w:lvlJc w:val="left"/>
      <w:rPr>
        <w:rFonts w:hint="eastAsia" w:ascii="黑体" w:hAnsi="等线" w:eastAsia="黑体"/>
        <w:b w:val="0"/>
        <w:i w:val="0"/>
        <w:sz w:val="21"/>
      </w:rPr>
    </w:lvl>
    <w:lvl w:ilvl="4" w:tentative="0">
      <w:start w:val="1"/>
      <w:numFmt w:val="decimal"/>
      <w:pStyle w:val="203"/>
      <w:suff w:val="nothing"/>
      <w:lvlText w:val="%10.%2.%3.%4.%5 "/>
      <w:lvlJc w:val="left"/>
      <w:rPr>
        <w:rFonts w:hint="eastAsia" w:ascii="黑体" w:hAnsi="等线" w:eastAsia="黑体"/>
        <w:b w:val="0"/>
        <w:i w:val="0"/>
        <w:sz w:val="21"/>
      </w:rPr>
    </w:lvl>
    <w:lvl w:ilvl="5" w:tentative="0">
      <w:start w:val="1"/>
      <w:numFmt w:val="decimal"/>
      <w:pStyle w:val="204"/>
      <w:suff w:val="nothing"/>
      <w:lvlText w:val="%10.%2.%3.%4.%5.%6 "/>
      <w:lvlJc w:val="left"/>
      <w:rPr>
        <w:rFonts w:hint="eastAsia" w:ascii="黑体" w:hAnsi="等线" w:eastAsia="黑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B53B5E"/>
    <w:multiLevelType w:val="multilevel"/>
    <w:tmpl w:val="1AB53B5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103616B"/>
    <w:multiLevelType w:val="multilevel"/>
    <w:tmpl w:val="4103616B"/>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12328CD"/>
    <w:multiLevelType w:val="multilevel"/>
    <w:tmpl w:val="412328CD"/>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8">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0">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2">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3">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CA6225F"/>
    <w:multiLevelType w:val="multilevel"/>
    <w:tmpl w:val="5CA6225F"/>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7">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8">
    <w:nsid w:val="654A26C9"/>
    <w:multiLevelType w:val="multilevel"/>
    <w:tmpl w:val="654A26C9"/>
    <w:lvl w:ilvl="0" w:tentative="0">
      <w:start w:val="1"/>
      <w:numFmt w:val="none"/>
      <w:pStyle w:val="189"/>
      <w:lvlText w:val="──"/>
      <w:lvlJc w:val="left"/>
      <w:rPr>
        <w:rFonts w:hint="eastAsia" w:ascii="宋体" w:hAnsi="等线 Light" w:eastAsia="宋体"/>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9">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0">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1">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4">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5">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6">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3"/>
  </w:num>
  <w:num w:numId="3">
    <w:abstractNumId w:val="7"/>
  </w:num>
  <w:num w:numId="4">
    <w:abstractNumId w:val="29"/>
  </w:num>
  <w:num w:numId="5">
    <w:abstractNumId w:val="23"/>
  </w:num>
  <w:num w:numId="6">
    <w:abstractNumId w:val="18"/>
  </w:num>
  <w:num w:numId="7">
    <w:abstractNumId w:val="11"/>
  </w:num>
  <w:num w:numId="8">
    <w:abstractNumId w:val="5"/>
  </w:num>
  <w:num w:numId="9">
    <w:abstractNumId w:val="12"/>
  </w:num>
  <w:num w:numId="10">
    <w:abstractNumId w:val="21"/>
  </w:num>
  <w:num w:numId="11">
    <w:abstractNumId w:val="31"/>
  </w:num>
  <w:num w:numId="12">
    <w:abstractNumId w:val="14"/>
  </w:num>
  <w:num w:numId="13">
    <w:abstractNumId w:val="17"/>
  </w:num>
  <w:num w:numId="14">
    <w:abstractNumId w:val="10"/>
  </w:num>
  <w:num w:numId="15">
    <w:abstractNumId w:val="24"/>
  </w:num>
  <w:num w:numId="16">
    <w:abstractNumId w:val="27"/>
  </w:num>
  <w:num w:numId="17">
    <w:abstractNumId w:val="22"/>
  </w:num>
  <w:num w:numId="18">
    <w:abstractNumId w:val="35"/>
  </w:num>
  <w:num w:numId="19">
    <w:abstractNumId w:val="20"/>
  </w:num>
  <w:num w:numId="20">
    <w:abstractNumId w:val="1"/>
  </w:num>
  <w:num w:numId="21">
    <w:abstractNumId w:val="13"/>
  </w:num>
  <w:num w:numId="22">
    <w:abstractNumId w:val="36"/>
  </w:num>
  <w:num w:numId="23">
    <w:abstractNumId w:val="26"/>
  </w:num>
  <w:num w:numId="24">
    <w:abstractNumId w:val="8"/>
  </w:num>
  <w:num w:numId="25">
    <w:abstractNumId w:val="32"/>
  </w:num>
  <w:num w:numId="26">
    <w:abstractNumId w:val="34"/>
  </w:num>
  <w:num w:numId="27">
    <w:abstractNumId w:val="4"/>
  </w:num>
  <w:num w:numId="28">
    <w:abstractNumId w:val="6"/>
  </w:num>
  <w:num w:numId="29">
    <w:abstractNumId w:val="19"/>
  </w:num>
  <w:num w:numId="30">
    <w:abstractNumId w:val="30"/>
  </w:num>
  <w:num w:numId="31">
    <w:abstractNumId w:val="28"/>
  </w:num>
  <w:num w:numId="3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2YjlkZGFkMzMzNDllYjIzMjQwMWUzOGU5ZjEwMzUifQ=="/>
  </w:docVars>
  <w:rsids>
    <w:rsidRoot w:val="00D7476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29F9"/>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55F9"/>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168"/>
    <w:rsid w:val="00165434"/>
    <w:rsid w:val="0016580B"/>
    <w:rsid w:val="00165F49"/>
    <w:rsid w:val="00166B88"/>
    <w:rsid w:val="00166C03"/>
    <w:rsid w:val="0016770A"/>
    <w:rsid w:val="00170804"/>
    <w:rsid w:val="0017086B"/>
    <w:rsid w:val="001708E9"/>
    <w:rsid w:val="0017340B"/>
    <w:rsid w:val="00173FB1"/>
    <w:rsid w:val="00175D20"/>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5F5"/>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498F"/>
    <w:rsid w:val="00306063"/>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39A4"/>
    <w:rsid w:val="00376713"/>
    <w:rsid w:val="00381815"/>
    <w:rsid w:val="003819AF"/>
    <w:rsid w:val="003820E9"/>
    <w:rsid w:val="00382610"/>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0ECD"/>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1D6C"/>
    <w:rsid w:val="00512F6E"/>
    <w:rsid w:val="00513038"/>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0562"/>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2DFE"/>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0B19"/>
    <w:rsid w:val="00953604"/>
    <w:rsid w:val="009547A6"/>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041A"/>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30FA"/>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90B"/>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1E08"/>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3655"/>
    <w:rsid w:val="00B54ABC"/>
    <w:rsid w:val="00B56FBE"/>
    <w:rsid w:val="00B62B58"/>
    <w:rsid w:val="00B65149"/>
    <w:rsid w:val="00B66567"/>
    <w:rsid w:val="00B66F52"/>
    <w:rsid w:val="00B66FE5"/>
    <w:rsid w:val="00B72880"/>
    <w:rsid w:val="00B758BF"/>
    <w:rsid w:val="00B827A6"/>
    <w:rsid w:val="00B831CE"/>
    <w:rsid w:val="00B86677"/>
    <w:rsid w:val="00B87131"/>
    <w:rsid w:val="00B910B9"/>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34AF"/>
    <w:rsid w:val="00C04904"/>
    <w:rsid w:val="00C056B3"/>
    <w:rsid w:val="00C103E5"/>
    <w:rsid w:val="00C13319"/>
    <w:rsid w:val="00C13EE9"/>
    <w:rsid w:val="00C17721"/>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6601D"/>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4C7E"/>
    <w:rsid w:val="00CC5233"/>
    <w:rsid w:val="00CC5DE6"/>
    <w:rsid w:val="00CC5F0D"/>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2B82"/>
    <w:rsid w:val="00D4514F"/>
    <w:rsid w:val="00D451E2"/>
    <w:rsid w:val="00D45E89"/>
    <w:rsid w:val="00D45E8D"/>
    <w:rsid w:val="00D466AE"/>
    <w:rsid w:val="00D4734F"/>
    <w:rsid w:val="00D51BF3"/>
    <w:rsid w:val="00D54B98"/>
    <w:rsid w:val="00D56D85"/>
    <w:rsid w:val="00D66846"/>
    <w:rsid w:val="00D675FB"/>
    <w:rsid w:val="00D71F25"/>
    <w:rsid w:val="00D7476E"/>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2D14"/>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8C4"/>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49D7"/>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2CBD"/>
    <w:rsid w:val="00FA662D"/>
    <w:rsid w:val="00FA6730"/>
    <w:rsid w:val="00FA6D94"/>
    <w:rsid w:val="00FA73B1"/>
    <w:rsid w:val="00FB0CB9"/>
    <w:rsid w:val="00FB0F67"/>
    <w:rsid w:val="00FB4145"/>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3E2609E"/>
    <w:rsid w:val="0AFB5144"/>
    <w:rsid w:val="1077526D"/>
    <w:rsid w:val="12316F88"/>
    <w:rsid w:val="180970F2"/>
    <w:rsid w:val="18D25736"/>
    <w:rsid w:val="1F850529"/>
    <w:rsid w:val="2E8C4181"/>
    <w:rsid w:val="35413C7A"/>
    <w:rsid w:val="3CB008D3"/>
    <w:rsid w:val="40C3307C"/>
    <w:rsid w:val="4609638B"/>
    <w:rsid w:val="4B170CDE"/>
    <w:rsid w:val="502366C9"/>
    <w:rsid w:val="59D14FBA"/>
    <w:rsid w:val="64F132FC"/>
    <w:rsid w:val="67136C12"/>
    <w:rsid w:val="6AD14F96"/>
    <w:rsid w:val="71926986"/>
    <w:rsid w:val="719646C8"/>
    <w:rsid w:val="776B3F01"/>
    <w:rsid w:val="79907C4E"/>
  </w:rsids>
  <m:mathPr>
    <m:mathFont m:val="Cambria Math"/>
    <m:brkBin m:val="before"/>
    <m:brkBinSub m:val="--"/>
    <m:smallFrac m:val="0"/>
    <m:dispDef/>
    <m:lMargin m:val="0"/>
    <m:rMargin m:val="0"/>
    <m:defJc m:val="centerGroup"/>
    <m:wrapIndent m:val="1440"/>
    <m:intLim m:val="subSup"/>
    <m:naryLim m:val="undOvr"/>
  </m:mathPr>
  <w:attachedSchema w:val="http://schemas.microsoft.com/office/drawing/2015/10/21/chartex"/>
  <w:attachedSchema w:val="http://schemas.microsoft.com/office/drawing/2016/5/9/chartex"/>
  <w:attachedSchema w:val="http://schemas.microsoft.com/office/drawing/2016/5/10/chartex"/>
  <w:attachedSchema w:val="http://schemas.microsoft.com/office/drawing/2016/5/11/chartex"/>
  <w:attachedSchema w:val="http://schemas.microsoft.com/office/drawing/2016/5/12/chartex"/>
  <w:attachedSchema w:val="http://schemas.microsoft.com/office/drawing/2016/5/13/chartex"/>
  <w:attachedSchema w:val="http://schemas.microsoft.com/office/drawing/2016/5/14/chartex"/>
  <w:attachedSchema w:val="http://schemas.microsoft.com/office/comments/2020/reactions"/>
  <w:attachedSchema w:val="http://schemas.microsoft.com/office/drawing/2016/ink"/>
  <w:attachedSchema w:val="http://schemas.microsoft.com/office/drawing/2017/model3d"/>
  <w:attachedSchema w:val="http://schemas.microsoft.com/office/2019/extls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qFormat/>
    <w:uiPriority w:val="0"/>
    <w:pPr>
      <w:ind w:left="839"/>
    </w:pPr>
    <w:rPr>
      <w:rFonts w:ascii="宋体"/>
    </w:rPr>
  </w:style>
  <w:style w:type="paragraph" w:styleId="15">
    <w:name w:val="toc 3"/>
    <w:basedOn w:val="1"/>
    <w:next w:val="1"/>
    <w:qFormat/>
    <w:uiPriority w:val="0"/>
    <w:pPr>
      <w:spacing w:line="300" w:lineRule="exact"/>
      <w:ind w:left="420"/>
    </w:pPr>
    <w:rPr>
      <w:rFonts w:ascii="宋体"/>
    </w:rPr>
  </w:style>
  <w:style w:type="paragraph" w:styleId="16">
    <w:name w:val="Balloon Text"/>
    <w:basedOn w:val="1"/>
    <w:link w:val="45"/>
    <w:qFormat/>
    <w:uiPriority w:val="0"/>
    <w:rPr>
      <w:sz w:val="18"/>
      <w:szCs w:val="18"/>
    </w:rPr>
  </w:style>
  <w:style w:type="paragraph" w:styleId="17">
    <w:name w:val="footer"/>
    <w:basedOn w:val="1"/>
    <w:link w:val="44"/>
    <w:qFormat/>
    <w:uiPriority w:val="0"/>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0"/>
    <w:pPr>
      <w:tabs>
        <w:tab w:val="center" w:pos="4153"/>
        <w:tab w:val="right" w:pos="8306"/>
      </w:tabs>
      <w:adjustRightInd/>
      <w:snapToGrid w:val="0"/>
      <w:jc w:val="center"/>
    </w:pPr>
    <w:rPr>
      <w:sz w:val="18"/>
      <w:szCs w:val="18"/>
    </w:rPr>
  </w:style>
  <w:style w:type="paragraph" w:styleId="19">
    <w:name w:val="toc 1"/>
    <w:basedOn w:val="1"/>
    <w:next w:val="1"/>
    <w:qFormat/>
    <w:uiPriority w:val="0"/>
    <w:rPr>
      <w:rFonts w:ascii="宋体"/>
    </w:rPr>
  </w:style>
  <w:style w:type="paragraph" w:styleId="20">
    <w:name w:val="toc 4"/>
    <w:basedOn w:val="1"/>
    <w:next w:val="1"/>
    <w:qFormat/>
    <w:uiPriority w:val="0"/>
    <w:pPr>
      <w:tabs>
        <w:tab w:val="right" w:leader="dot" w:pos="9344"/>
      </w:tabs>
      <w:spacing w:line="300" w:lineRule="exact"/>
      <w:ind w:left="629"/>
    </w:pPr>
    <w:rPr>
      <w:rFonts w:ascii="宋体"/>
    </w:rPr>
  </w:style>
  <w:style w:type="paragraph" w:styleId="21">
    <w:name w:val="footnote text"/>
    <w:basedOn w:val="1"/>
    <w:next w:val="1"/>
    <w:link w:val="99"/>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qFormat/>
    <w:uiPriority w:val="0"/>
    <w:pPr>
      <w:spacing w:line="300" w:lineRule="exact"/>
      <w:ind w:left="1049"/>
    </w:pPr>
    <w:rPr>
      <w:rFonts w:ascii="宋体"/>
    </w:rPr>
  </w:style>
  <w:style w:type="paragraph" w:styleId="23">
    <w:name w:val="table of figures"/>
    <w:basedOn w:val="1"/>
    <w:next w:val="1"/>
    <w:qFormat/>
    <w:uiPriority w:val="0"/>
    <w:pPr>
      <w:adjustRightInd/>
      <w:spacing w:line="240" w:lineRule="auto"/>
      <w:jc w:val="left"/>
    </w:pPr>
    <w:rPr>
      <w:szCs w:val="24"/>
    </w:rPr>
  </w:style>
  <w:style w:type="paragraph" w:styleId="24">
    <w:name w:val="toc 2"/>
    <w:basedOn w:val="1"/>
    <w:next w:val="1"/>
    <w:qFormat/>
    <w:uiPriority w:val="0"/>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qFormat/>
    <w:uiPriority w:val="0"/>
    <w:rPr>
      <w:rFonts w:ascii="宋体" w:hAnsi="Times New Roman" w:eastAsia="宋体"/>
      <w:sz w:val="18"/>
    </w:rPr>
  </w:style>
  <w:style w:type="character" w:styleId="31">
    <w:name w:val="Emphasis"/>
    <w:qFormat/>
    <w:uiPriority w:val="0"/>
    <w:rPr>
      <w:i/>
      <w:iCs/>
    </w:rPr>
  </w:style>
  <w:style w:type="character" w:styleId="32">
    <w:name w:val="Hyperlink"/>
    <w:qFormat/>
    <w:uiPriority w:val="0"/>
    <w:rPr>
      <w:rFonts w:ascii="宋体" w:hAnsi="Times New Roman" w:eastAsia="宋体"/>
      <w:color w:val="auto"/>
      <w:spacing w:val="0"/>
      <w:w w:val="100"/>
      <w:position w:val="0"/>
      <w:sz w:val="21"/>
      <w:u w:val="none"/>
      <w:vertAlign w:val="baseline"/>
    </w:rPr>
  </w:style>
  <w:style w:type="character" w:styleId="33">
    <w:name w:val="footnote reference"/>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0"/>
    <w:rPr>
      <w:kern w:val="2"/>
      <w:sz w:val="18"/>
      <w:szCs w:val="18"/>
    </w:rPr>
  </w:style>
  <w:style w:type="character" w:customStyle="1" w:styleId="44">
    <w:name w:val="页脚 字符"/>
    <w:link w:val="17"/>
    <w:qFormat/>
    <w:uiPriority w:val="0"/>
    <w:rPr>
      <w:rFonts w:ascii="宋体"/>
      <w:kern w:val="2"/>
      <w:sz w:val="18"/>
      <w:szCs w:val="18"/>
    </w:rPr>
  </w:style>
  <w:style w:type="character" w:customStyle="1" w:styleId="45">
    <w:name w:val="批注框文本 字符"/>
    <w:link w:val="16"/>
    <w:qFormat/>
    <w:uiPriority w:val="0"/>
    <w:rPr>
      <w:kern w:val="2"/>
      <w:sz w:val="18"/>
      <w:szCs w:val="18"/>
    </w:rPr>
  </w:style>
  <w:style w:type="paragraph" w:styleId="46">
    <w:name w:val="Quote"/>
    <w:basedOn w:val="1"/>
    <w:next w:val="1"/>
    <w:link w:val="47"/>
    <w:qFormat/>
    <w:uiPriority w:val="0"/>
    <w:rPr>
      <w:i/>
      <w:iCs/>
      <w:color w:val="000000"/>
    </w:rPr>
  </w:style>
  <w:style w:type="character" w:customStyle="1" w:styleId="47">
    <w:name w:val="引用 字符"/>
    <w:link w:val="46"/>
    <w:qFormat/>
    <w:uiPriority w:val="0"/>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0"/>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qFormat/>
    <w:uiPriority w:val="0"/>
    <w:pPr>
      <w:adjustRightInd/>
      <w:spacing w:line="240" w:lineRule="auto"/>
      <w:jc w:val="left"/>
    </w:pPr>
    <w:rPr>
      <w:bCs/>
      <w:iCs/>
    </w:rPr>
  </w:style>
  <w:style w:type="paragraph" w:customStyle="1" w:styleId="143">
    <w:name w:val="目录 31"/>
    <w:basedOn w:val="1"/>
    <w:next w:val="1"/>
    <w:qFormat/>
    <w:uiPriority w:val="0"/>
    <w:pPr>
      <w:spacing w:line="240" w:lineRule="auto"/>
    </w:pPr>
    <w:rPr>
      <w:rFonts w:ascii="宋体" w:hAnsi="宋体"/>
      <w:iCs/>
    </w:rPr>
  </w:style>
  <w:style w:type="paragraph" w:customStyle="1" w:styleId="144">
    <w:name w:val="目录 41"/>
    <w:basedOn w:val="1"/>
    <w:next w:val="1"/>
    <w:qFormat/>
    <w:uiPriority w:val="0"/>
    <w:pPr>
      <w:adjustRightInd/>
      <w:spacing w:line="240" w:lineRule="auto"/>
      <w:jc w:val="left"/>
    </w:pPr>
  </w:style>
  <w:style w:type="paragraph" w:customStyle="1" w:styleId="145">
    <w:name w:val="目录 51"/>
    <w:basedOn w:val="1"/>
    <w:next w:val="1"/>
    <w:qFormat/>
    <w:uiPriority w:val="0"/>
    <w:pPr>
      <w:spacing w:line="240" w:lineRule="auto"/>
    </w:pPr>
    <w:rPr>
      <w:rFonts w:ascii="宋体" w:hAnsi="宋体"/>
    </w:rPr>
  </w:style>
  <w:style w:type="paragraph" w:customStyle="1" w:styleId="146">
    <w:name w:val="目录 61"/>
    <w:basedOn w:val="1"/>
    <w:next w:val="1"/>
    <w:qFormat/>
    <w:uiPriority w:val="0"/>
    <w:pPr>
      <w:adjustRightInd/>
      <w:spacing w:line="240" w:lineRule="auto"/>
      <w:jc w:val="left"/>
    </w:pPr>
  </w:style>
  <w:style w:type="paragraph" w:customStyle="1" w:styleId="147">
    <w:name w:val="目录 71"/>
    <w:basedOn w:val="146"/>
    <w:qFormat/>
    <w:uiPriority w:val="0"/>
    <w:pPr>
      <w:ind w:left="1260"/>
    </w:pPr>
  </w:style>
  <w:style w:type="paragraph" w:customStyle="1" w:styleId="148">
    <w:name w:val="目录 81"/>
    <w:basedOn w:val="147"/>
    <w:qFormat/>
    <w:uiPriority w:val="0"/>
    <w:pPr>
      <w:ind w:left="1470"/>
    </w:pPr>
  </w:style>
  <w:style w:type="paragraph" w:customStyle="1" w:styleId="149">
    <w:name w:val="目录 91"/>
    <w:basedOn w:val="148"/>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qFormat/>
    <w:uiPriority w:val="0"/>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0"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qFormat/>
    <w:uiPriority w:val="0"/>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0"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0"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0"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0"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0"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qFormat/>
    <w:uiPriority w:val="0"/>
    <w:rPr>
      <w:rFonts w:ascii="黑体" w:eastAsia="黑体"/>
      <w:spacing w:val="85"/>
      <w:w w:val="100"/>
      <w:position w:val="3"/>
      <w:sz w:val="28"/>
      <w:szCs w:val="28"/>
    </w:rPr>
  </w:style>
  <w:style w:type="paragraph" w:customStyle="1" w:styleId="230">
    <w:name w:val="段"/>
    <w:basedOn w:val="1"/>
    <w:qFormat/>
    <w:uiPriority w:val="0"/>
    <w:pPr>
      <w:widowControl/>
      <w:autoSpaceDE w:val="0"/>
      <w:autoSpaceDN w:val="0"/>
      <w:adjustRightInd/>
      <w:spacing w:line="240" w:lineRule="auto"/>
      <w:ind w:firstLine="420" w:firstLineChars="200"/>
    </w:pPr>
    <w:rPr>
      <w:rFonts w:ascii="宋体" w:hAnsi="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jpeg"/><Relationship Id="rId46" Type="http://schemas.openxmlformats.org/officeDocument/2006/relationships/image" Target="media/image10.wmf"/><Relationship Id="rId45" Type="http://schemas.openxmlformats.org/officeDocument/2006/relationships/oleObject" Target="embeddings/oleObject10.bin"/><Relationship Id="rId44" Type="http://schemas.openxmlformats.org/officeDocument/2006/relationships/image" Target="media/image9.wmf"/><Relationship Id="rId43" Type="http://schemas.openxmlformats.org/officeDocument/2006/relationships/oleObject" Target="embeddings/oleObject9.bin"/><Relationship Id="rId42" Type="http://schemas.openxmlformats.org/officeDocument/2006/relationships/image" Target="media/image8.wmf"/><Relationship Id="rId41" Type="http://schemas.openxmlformats.org/officeDocument/2006/relationships/oleObject" Target="embeddings/oleObject8.bin"/><Relationship Id="rId40" Type="http://schemas.openxmlformats.org/officeDocument/2006/relationships/image" Target="media/image7.wmf"/><Relationship Id="rId4" Type="http://schemas.openxmlformats.org/officeDocument/2006/relationships/endnotes" Target="endnotes.xml"/><Relationship Id="rId39" Type="http://schemas.openxmlformats.org/officeDocument/2006/relationships/oleObject" Target="embeddings/oleObject7.bin"/><Relationship Id="rId38" Type="http://schemas.openxmlformats.org/officeDocument/2006/relationships/image" Target="media/image6.wmf"/><Relationship Id="rId37" Type="http://schemas.openxmlformats.org/officeDocument/2006/relationships/oleObject" Target="embeddings/oleObject6.bin"/><Relationship Id="rId36" Type="http://schemas.openxmlformats.org/officeDocument/2006/relationships/image" Target="media/image5.wmf"/><Relationship Id="rId35" Type="http://schemas.openxmlformats.org/officeDocument/2006/relationships/oleObject" Target="embeddings/oleObject5.bin"/><Relationship Id="rId34" Type="http://schemas.openxmlformats.org/officeDocument/2006/relationships/image" Target="media/image4.wmf"/><Relationship Id="rId33" Type="http://schemas.openxmlformats.org/officeDocument/2006/relationships/oleObject" Target="embeddings/oleObject4.bin"/><Relationship Id="rId32" Type="http://schemas.openxmlformats.org/officeDocument/2006/relationships/image" Target="media/image3.wmf"/><Relationship Id="rId31" Type="http://schemas.openxmlformats.org/officeDocument/2006/relationships/oleObject" Target="embeddings/oleObject3.bin"/><Relationship Id="rId30" Type="http://schemas.openxmlformats.org/officeDocument/2006/relationships/image" Target="media/image2.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1.w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header" Target="header6.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theme/theme1.xml><?xml version="1.0" encoding="utf-8"?>
<a:theme xmlns:a="http://schemas.openxmlformats.org/drawingml/2006/main" name="Office 主题​​">
  <a:themeElements>
    <a:clrScheme name="Office">
      <a:dk1>
        <a:sysClr val="windowText" lastClr="3C3C3C"/>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行业标准.dotx</Template>
  <Company>PCMI</Company>
  <Pages>26</Pages>
  <Words>1940</Words>
  <Characters>11064</Characters>
  <Lines>92</Lines>
  <Paragraphs>25</Paragraphs>
  <TotalTime>3</TotalTime>
  <ScaleCrop>false</ScaleCrop>
  <LinksUpToDate>false</LinksUpToDate>
  <CharactersWithSpaces>12979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2023-10-05T13:53:00Z</dcterms:created>
  <dc:creator>VAN NING</dc:creator>
  <dc:description>&lt;config cover="true" show_menu="true" version="1.0.0" doctype="SDKXY"&gt;
            &lt;/config&gt;</dc:description>
  <cp:lastModifiedBy>恸</cp:lastModifiedBy>
  <cp:lastPrinted>2021-02-02T08:18:00Z</cp:lastPrinted>
  <dcterms:modified xsi:type="dcterms:W3CDTF">2023-10-09T07:01:28Z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2052-12.1.0.15712</vt:lpwstr>
  </property>
  <property fmtid="{D5CDD505-2E9C-101B-9397-08002B2CF9AE}" pid="15" name="ICV">
    <vt:lpwstr>FE6F27A5B1F14888953CD00FA10FCCAB_13</vt:lpwstr>
  </property>
</Properties>
</file>