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85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noWrap w:val="0"/>
            <w:vAlign w:val="center"/>
          </w:tcPr>
          <w:p w14:paraId="1A13467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415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压缩空气储能电站技术监督规范 第1部分：金属监督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eastAsia="zh-CN"/>
              </w:rPr>
              <w:t>征求意见稿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28"/>
                <w:lang w:val="en-US" w:eastAsia="zh-CN"/>
              </w:rPr>
              <w:t>)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 w14:paraId="1CD128E3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415" w:type="dxa"/>
            <w:gridSpan w:val="5"/>
            <w:noWrap w:val="0"/>
            <w:vAlign w:val="center"/>
          </w:tcPr>
          <w:p w14:paraId="4491304A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0" w:type="dxa"/>
            <w:noWrap w:val="0"/>
            <w:vAlign w:val="center"/>
          </w:tcPr>
          <w:p w14:paraId="08315448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710" w:type="dxa"/>
            <w:noWrap w:val="0"/>
            <w:vAlign w:val="center"/>
          </w:tcPr>
          <w:p w14:paraId="446C36F6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855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  <w:bookmarkStart w:id="0" w:name="_GoBack"/>
            <w:bookmarkEnd w:id="0"/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6F4333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166</Characters>
  <Lines>0</Lines>
  <Paragraphs>0</Paragraphs>
  <TotalTime>2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2025-07-10T01:01:11Z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