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8"/>
        <w:framePr w:wrap="around"/>
        <w:rPr>
          <w:rFonts w:hAnsi="黑体"/>
        </w:rPr>
      </w:pPr>
      <w:r>
        <w:rPr>
          <w:rFonts w:hint="eastAsia" w:hAnsi="黑体"/>
        </w:rPr>
        <w:t xml:space="preserve">ICS </w:t>
      </w:r>
    </w:p>
    <w:p>
      <w:pPr>
        <w:pStyle w:val="168"/>
        <w:framePr w:wrap="around"/>
        <w:rPr>
          <w:rFonts w:hAnsi="黑体"/>
        </w:rPr>
      </w:pPr>
      <w:r>
        <w:rPr>
          <w:rFonts w:hint="eastAsia" w:hAnsi="黑体"/>
        </w:rPr>
        <w:t xml:space="preserve">CCS </w:t>
      </w:r>
    </w:p>
    <w:tbl>
      <w:tblPr>
        <w:tblStyle w:val="4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pPr>
              <w:pStyle w:val="168"/>
              <w:framePr w:wrap="around"/>
            </w:pPr>
            <w: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0" r="0" b="0"/>
                      <wp:wrapNone/>
                      <wp:docPr id="3" name="BAH"/>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a:effectLst/>
                            </wps:spPr>
                            <wps:txbx>
                              <w:txbxContent>
                                <w:p/>
                              </w:txbxContent>
                            </wps:txbx>
                            <wps:bodyPr upright="1"/>
                          </wps:wsp>
                        </a:graphicData>
                      </a:graphic>
                    </wp:anchor>
                  </w:drawing>
                </mc:Choice>
                <mc:Fallback>
                  <w:pict>
                    <v:rect id="BAH"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qYzsuq8BAAByAwAADgAAAGRycy9lMm9Eb2MueG1srVNNb9sw&#10;DL0P6H8QdG8cZ1iaGXGKrUG2w7AV6PYDFFm2BegLpBI7/36U7GVtd+lhPsikSD3yPUrb+9EadlaA&#10;2rual4slZ8pJ32jX1fzXz8PthjOMwjXCeKdqflHI73c377ZDqNTK9940ChiBOKyGUPM+xlAVBcpe&#10;WYELH5SjYOvBikgudEUDYiB0a4rVcrkuBg9NAC8VIu3upyCfEeEtgL5ttVR7L09WuTihgjIiEiXs&#10;dUC+y922rZLxR9uiiszUnJjGvFIRso9pLXZbUXUgQq/l3IJ4SwuvOFmhHRW9Qu1FFOwE+h8oqyV4&#10;9G1cSG+LiUhWhFiUy1faPPUiqMyFpMZwFR3/H6z8fn4Eppuav+fMCUsD//zpa5JlCFhR9Ck8wuwh&#10;mYnj2IJNf+qejVnKy1VKNUYmaXOzXt/dfeBMUqj8uClXWeri7+EAGL8ob1kyag40qSygOH/DSAUp&#10;9U9KqoXe6OagjckOdMcHA+wsaKqH/KWO6ciLNONSsvPp2BSedlS+F3OZRHMilqw4HseZ7dE3F5Lm&#10;FEB3PXVY5hIpiUaRi83XJs36uU/286e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Iri/s1QAA&#10;AAcBAAAPAAAAAAAAAAEAIAAAACIAAABkcnMvZG93bnJldi54bWxQSwECFAAUAAAACACHTuJAqYzs&#10;uq8BAAByAwAADgAAAAAAAAABACAAAAAkAQAAZHJzL2Uyb0RvYy54bWxQSwUGAAAAAAYABgBZAQAA&#10;RQUAAAAA&#10;">
                      <v:fill on="t" focussize="0,0"/>
                      <v:stroke on="f"/>
                      <v:imagedata o:title=""/>
                      <o:lock v:ext="edit" aspectratio="f"/>
                      <v:textbox>
                        <w:txbxContent>
                          <w:p/>
                        </w:txbxContent>
                      </v:textbox>
                    </v:rect>
                  </w:pict>
                </mc:Fallback>
              </mc:AlternateContent>
            </w:r>
          </w:p>
        </w:tc>
      </w:tr>
    </w:tbl>
    <w:p>
      <w:pPr>
        <w:pStyle w:val="175"/>
        <w:framePr w:wrap="around"/>
      </w:pPr>
      <w:r>
        <w:t>DB42</w:t>
      </w:r>
    </w:p>
    <w:p>
      <w:pPr>
        <w:pStyle w:val="148"/>
        <w:framePr w:wrap="around"/>
      </w:pPr>
      <w:r>
        <w:rPr>
          <w:rFonts w:hint="eastAsia"/>
        </w:rPr>
        <w:t>湖北省地方标准</w:t>
      </w:r>
    </w:p>
    <w:p>
      <w:pPr>
        <w:pStyle w:val="129"/>
        <w:framePr w:wrap="around"/>
        <w:rPr>
          <w:rFonts w:hAnsi="黑体"/>
        </w:rPr>
      </w:pPr>
      <w:r>
        <w:rPr>
          <w:rFonts w:hAnsi="黑体"/>
        </w:rPr>
        <w:t>DB</w:t>
      </w:r>
      <w:r>
        <w:rPr>
          <w:rFonts w:hint="eastAsia" w:hAnsi="黑体"/>
        </w:rPr>
        <w:t>42</w:t>
      </w:r>
      <w:r>
        <w:rPr>
          <w:rFonts w:hAnsi="黑体"/>
        </w:rPr>
        <w:t>/</w:t>
      </w:r>
      <w:r>
        <w:rPr>
          <w:rFonts w:hint="eastAsia" w:hAnsi="黑体"/>
        </w:rPr>
        <w:t xml:space="preserve">T </w:t>
      </w:r>
      <w:r>
        <w:rPr>
          <w:rFonts w:hAnsi="黑体"/>
        </w:rPr>
        <w:t>****—</w:t>
      </w:r>
      <w:r>
        <w:rPr>
          <w:rFonts w:hint="eastAsia" w:hAnsi="黑体"/>
        </w:rPr>
        <w:t>***</w:t>
      </w:r>
      <w:r>
        <w:rPr>
          <w:rFonts w:hAnsi="黑体"/>
        </w:rPr>
        <w:t>*</w:t>
      </w:r>
    </w:p>
    <w:tbl>
      <w:tblPr>
        <w:tblStyle w:val="4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164"/>
              <w:framePr w:wrap="around"/>
            </w:pPr>
          </w:p>
        </w:tc>
      </w:tr>
    </w:tbl>
    <w:p>
      <w:pPr>
        <w:pStyle w:val="129"/>
        <w:framePr w:wrap="around"/>
        <w:rPr>
          <w:rFonts w:hAnsi="黑体"/>
        </w:rPr>
      </w:pPr>
    </w:p>
    <w:p>
      <w:pPr>
        <w:pStyle w:val="129"/>
        <w:framePr w:wrap="around"/>
        <w:rPr>
          <w:rFonts w:hAnsi="黑体"/>
        </w:rPr>
      </w:pPr>
    </w:p>
    <w:p>
      <w:pPr>
        <w:pStyle w:val="110"/>
        <w:framePr w:wrap="around"/>
        <w:rPr>
          <w:rFonts w:hint="eastAsia"/>
        </w:rPr>
      </w:pPr>
      <w:r>
        <w:rPr>
          <w:rFonts w:hint="eastAsia"/>
          <w:highlight w:val="none"/>
        </w:rPr>
        <w:t>居住区</w:t>
      </w:r>
      <w:r>
        <w:rPr>
          <w:rFonts w:hint="eastAsia"/>
        </w:rPr>
        <w:t>电动汽车充电设施</w:t>
      </w:r>
    </w:p>
    <w:p>
      <w:pPr>
        <w:pStyle w:val="110"/>
        <w:framePr w:wrap="around"/>
      </w:pPr>
      <w:r>
        <w:rPr>
          <w:rFonts w:hint="eastAsia"/>
        </w:rPr>
        <w:t>配电网络设计规范</w:t>
      </w:r>
    </w:p>
    <w:p>
      <w:pPr>
        <w:pStyle w:val="109"/>
        <w:framePr w:wrap="around"/>
        <w:pBdr>
          <w:top w:val="none" w:color="auto" w:sz="0" w:space="0"/>
          <w:left w:val="none" w:color="auto" w:sz="0" w:space="0"/>
          <w:bottom w:val="none" w:color="auto" w:sz="0" w:space="0"/>
          <w:right w:val="none" w:color="auto" w:sz="0" w:space="0"/>
        </w:pBdr>
        <w:spacing w:before="440" w:after="160"/>
        <w:textAlignment w:val="bottom"/>
        <w:rPr>
          <w:sz w:val="24"/>
          <w:szCs w:val="28"/>
        </w:rPr>
      </w:pPr>
      <w:r>
        <w:rPr>
          <w:rFonts w:hint="default" w:ascii="Times New Roman" w:hAnsi="Times New Roman" w:eastAsia="黑体" w:cs="Times New Roman"/>
          <w:i w:val="0"/>
          <w:iCs w:val="0"/>
          <w:caps w:val="0"/>
          <w:color w:val="333333"/>
          <w:spacing w:val="0"/>
          <w:sz w:val="28"/>
          <w:szCs w:val="28"/>
          <w:shd w:val="clear" w:fill="F5F5F5"/>
        </w:rPr>
        <w:t xml:space="preserve">Code for design of distribution network for charging facilities of </w:t>
      </w:r>
      <w:r>
        <w:rPr>
          <w:rFonts w:hint="eastAsia" w:ascii="Times New Roman" w:hAnsi="Times New Roman" w:eastAsia="黑体" w:cs="Times New Roman"/>
          <w:i w:val="0"/>
          <w:iCs w:val="0"/>
          <w:caps w:val="0"/>
          <w:color w:val="333333"/>
          <w:spacing w:val="0"/>
          <w:sz w:val="28"/>
          <w:szCs w:val="28"/>
          <w:shd w:val="clear" w:fill="F5F5F5"/>
        </w:rPr>
        <w:t>electric vehicles</w:t>
      </w:r>
      <w:r>
        <w:rPr>
          <w:rFonts w:hint="eastAsia" w:ascii="黑体" w:hAnsi="黑体" w:eastAsia="黑体" w:cs="黑体"/>
          <w:i w:val="0"/>
          <w:iCs w:val="0"/>
          <w:caps w:val="0"/>
          <w:color w:val="333333"/>
          <w:spacing w:val="0"/>
          <w:sz w:val="28"/>
          <w:szCs w:val="28"/>
          <w:shd w:val="clear" w:fill="F5F5F5"/>
        </w:rPr>
        <w:t xml:space="preserve"> </w:t>
      </w:r>
      <w:r>
        <w:rPr>
          <w:rFonts w:hint="eastAsia" w:ascii="Times New Roman" w:hAnsi="Times New Roman" w:eastAsia="黑体" w:cs="Times New Roman"/>
          <w:i w:val="0"/>
          <w:iCs w:val="0"/>
          <w:caps w:val="0"/>
          <w:color w:val="333333"/>
          <w:spacing w:val="0"/>
          <w:sz w:val="28"/>
          <w:szCs w:val="28"/>
          <w:shd w:val="clear" w:fill="F5F5F5"/>
        </w:rPr>
        <w:t>in residential areas</w:t>
      </w:r>
    </w:p>
    <w:p>
      <w:pPr>
        <w:pStyle w:val="109"/>
        <w:framePr w:wrap="around"/>
        <w:shd w:val="clear"/>
        <w:rPr>
          <w:rFonts w:hint="eastAsia" w:ascii="Times New Roman" w:hAnsi="Times New Roman" w:eastAsia="黑体" w:cs="Times New Roman"/>
          <w:i w:val="0"/>
          <w:iCs w:val="0"/>
          <w:caps w:val="0"/>
          <w:color w:val="333333"/>
          <w:spacing w:val="0"/>
          <w:sz w:val="28"/>
          <w:szCs w:val="28"/>
          <w:shd w:val="clear" w:fill="F5F5F5"/>
        </w:rPr>
      </w:pPr>
    </w:p>
    <w:p>
      <w:pPr>
        <w:pStyle w:val="121"/>
        <w:framePr w:wrap="around" w:hAnchor="page" w:x="1414"/>
      </w:pPr>
      <w:r>
        <w:rPr>
          <w:rFonts w:hint="eastAsia" w:ascii="黑体"/>
        </w:rPr>
        <w:t>****</w:t>
      </w:r>
      <w:r>
        <w:rPr>
          <w:rFonts w:ascii="黑体"/>
        </w:rPr>
        <w:t>-</w:t>
      </w:r>
      <w:r>
        <w:rPr>
          <w:rFonts w:hint="eastAsia" w:ascii="黑体"/>
        </w:rPr>
        <w:t>**</w:t>
      </w:r>
      <w:r>
        <w:rPr>
          <w:rFonts w:ascii="黑体"/>
        </w:rPr>
        <w:t>-</w:t>
      </w:r>
      <w:r>
        <w:rPr>
          <w:rFonts w:hint="eastAsia" w:ascii="黑体"/>
        </w:rPr>
        <w:t>**</w:t>
      </w:r>
      <w:r>
        <w:rPr>
          <w:rFonts w:hint="eastAsia"/>
        </w:rPr>
        <w:t>发布</w:t>
      </w:r>
      <w:r>
        <mc:AlternateContent>
          <mc:Choice Requires="wps">
            <w:drawing>
              <wp:anchor distT="0" distB="0" distL="114300" distR="114300" simplePos="0" relativeHeight="251662336" behindDoc="0" locked="1" layoutInCell="1" allowOverlap="1">
                <wp:simplePos x="0" y="0"/>
                <wp:positionH relativeFrom="column">
                  <wp:posOffset>-635</wp:posOffset>
                </wp:positionH>
                <wp:positionV relativeFrom="page">
                  <wp:posOffset>9251950</wp:posOffset>
                </wp:positionV>
                <wp:extent cx="6120130" cy="0"/>
                <wp:effectExtent l="0" t="0" r="0" b="0"/>
                <wp:wrapNone/>
                <wp:docPr id="4" name="直线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0.05pt;margin-top:728.5pt;height:0pt;width:481.9pt;mso-position-vertical-relative:page;z-index:251662336;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NAROrnkAQAA3QMAAA4AAABkcnMvZTJvRG9jLnhtbK1TS27b&#10;MBDdF+gdCO5r2U4TtILlLOKmm6I10PQAY5KSCPAHDmPZZ+k1uuqmx8k1OqQUN002XkQLasgZvpn3&#10;Zri6PljD9iqi9q7hi9mcM+WEl9p1Df9xd/vuA2eYwEkw3qmGHxXy6/XbN6sh1Grpe2+kioxAHNZD&#10;aHifUqirCkWvLODMB+XI2fpoIdE2dpWMMBC6NdVyPr+qBh9liF4oRDrdjE4+IcZzAH3baqE2Xtxb&#10;5dKIGpWBRJSw1wH5ulTbtkqkb22LKjHTcGKaykpJyN7ltVqvoO4ihF6LqQQ4p4RnnCxoR0lPUBtI&#10;wO6jfgFltYgefZtmwttqJFIUIRaL+TNtvvcQVOFCUmM4iY6vByu+7reRadnw95w5sNTwh5+/Hn7/&#10;YRdZmyFgTSE3bhunHYZtzEQPbbT5TxTYoeh5POmpDokJOrxaEKkLklo8+qp/F0PE9Fl5y7LRcKNd&#10;pgo17L9gomQU+hiSj41jQ8M/Xi4vCQ5o7lrqN5k2UO3ounIXvdHyVhuTb2Dsdjcmsj3k3pcvUyLc&#10;/8Jykg1gP8YV1zgVvQL5yUmWjoFUcfQYeC7BKsmZUfR2skWAUCfQ5pxISm1cvqDKZE48s8ajqtna&#10;eXksYld5R10vFU8Tmsfq6Z7sp69y/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h2s81gAAAAsB&#10;AAAPAAAAAAAAAAEAIAAAACIAAABkcnMvZG93bnJldi54bWxQSwECFAAUAAAACACHTuJA0BE6ueQB&#10;AADdAwAADgAAAAAAAAABACAAAAAlAQAAZHJzL2Uyb0RvYy54bWxQSwUGAAAAAAYABgBZAQAAewUA&#10;AAAA&#10;">
                <v:fill on="f" focussize="0,0"/>
                <v:stroke color="#000000" joinstyle="round"/>
                <v:imagedata o:title=""/>
                <o:lock v:ext="edit" aspectratio="f"/>
                <w10:anchorlock/>
              </v:line>
            </w:pict>
          </mc:Fallback>
        </mc:AlternateContent>
      </w:r>
    </w:p>
    <w:p>
      <w:pPr>
        <w:pStyle w:val="90"/>
        <w:framePr w:wrap="around" w:hAnchor="page" w:x="7023" w:y="14044"/>
      </w:pPr>
      <w:r>
        <w:rPr>
          <w:rFonts w:hint="eastAsia" w:ascii="黑体"/>
        </w:rPr>
        <w:t>****</w:t>
      </w:r>
      <w:r>
        <w:rPr>
          <w:rFonts w:ascii="黑体"/>
        </w:rPr>
        <w:t>-</w:t>
      </w:r>
      <w:r>
        <w:rPr>
          <w:rFonts w:hint="eastAsia" w:ascii="黑体"/>
        </w:rPr>
        <w:t>**</w:t>
      </w:r>
      <w:r>
        <w:rPr>
          <w:rFonts w:ascii="黑体"/>
        </w:rPr>
        <w:t>-</w:t>
      </w:r>
      <w:r>
        <w:rPr>
          <w:rFonts w:hint="eastAsia" w:ascii="黑体"/>
        </w:rPr>
        <w:t>**</w:t>
      </w:r>
      <w:r>
        <w:rPr>
          <w:rFonts w:hint="eastAsia"/>
        </w:rPr>
        <w:t>实施</w:t>
      </w:r>
    </w:p>
    <w:p>
      <w:pPr>
        <w:pStyle w:val="177"/>
        <w:framePr w:wrap="around"/>
      </w:pPr>
      <w:bookmarkStart w:id="0" w:name="fm"/>
      <w:r>
        <w:fldChar w:fldCharType="begin">
          <w:ffData>
            <w:name w:val="fm"/>
            <w:enabled/>
            <w:calcOnExit w:val="0"/>
            <w:textInput/>
          </w:ffData>
        </w:fldChar>
      </w:r>
      <w:r>
        <w:instrText xml:space="preserve"> FORMTEXT </w:instrText>
      </w:r>
      <w:r>
        <w:fldChar w:fldCharType="separate"/>
      </w:r>
      <w:r>
        <w:rPr>
          <w:rFonts w:hint="eastAsia"/>
        </w:rPr>
        <w:t>湖北省市场监督管理局</w:t>
      </w:r>
      <w:r>
        <w:fldChar w:fldCharType="end"/>
      </w:r>
      <w:r>
        <w:rPr>
          <w:w w:val="100"/>
        </w:rPr>
        <mc:AlternateContent>
          <mc:Choice Requires="wps">
            <w:drawing>
              <wp:anchor distT="0" distB="0" distL="114300" distR="114300" simplePos="0" relativeHeight="251660288" behindDoc="1" locked="0" layoutInCell="1" allowOverlap="1">
                <wp:simplePos x="0" y="0"/>
                <wp:positionH relativeFrom="page">
                  <wp:posOffset>3202940</wp:posOffset>
                </wp:positionH>
                <wp:positionV relativeFrom="page">
                  <wp:posOffset>5997575</wp:posOffset>
                </wp:positionV>
                <wp:extent cx="1270000" cy="304800"/>
                <wp:effectExtent l="0" t="0" r="0" b="0"/>
                <wp:wrapNone/>
                <wp:docPr id="2"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a:effectLst/>
                      </wps:spPr>
                      <wps:txbx>
                        <w:txbxContent>
                          <w:p>
                            <w:pPr>
                              <w:jc w:val="center"/>
                              <w:rPr>
                                <w:rFonts w:hint="eastAsia" w:eastAsia="宋体"/>
                                <w:sz w:val="24"/>
                                <w:szCs w:val="24"/>
                                <w:lang w:eastAsia="zh-CN"/>
                              </w:rPr>
                            </w:pPr>
                            <w:r>
                              <w:rPr>
                                <w:rFonts w:hint="eastAsia" w:ascii="宋体" w:eastAsia="宋体"/>
                                <w:sz w:val="24"/>
                                <w:szCs w:val="28"/>
                                <w:lang w:bidi="ar-SA"/>
                              </w:rPr>
                              <w:t>（征求意见稿）</w:t>
                            </w:r>
                          </w:p>
                        </w:txbxContent>
                      </wps:txbx>
                      <wps:bodyPr upright="1"/>
                    </wps:wsp>
                  </a:graphicData>
                </a:graphic>
              </wp:anchor>
            </w:drawing>
          </mc:Choice>
          <mc:Fallback>
            <w:pict>
              <v:rect id="LB" o:spid="_x0000_s1026" o:spt="1" style="position:absolute;left:0pt;margin-left:252.2pt;margin-top:472.25pt;height:24pt;width:100pt;mso-position-horizontal-relative:page;mso-position-vertical-relative:page;z-index:-251656192;mso-width-relative:page;mso-height-relative:page;" fillcolor="#FFFFFF" filled="t" stroked="f" coordsize="21600,21600" o:gfxdata="UEsDBAoAAAAAAIdO4kAAAAAAAAAAAAAAAAAEAAAAZHJzL1BLAwQUAAAACACHTuJAi3TLhNcAAAAL&#10;AQAADwAAAGRycy9kb3ducmV2LnhtbE2PwU7DMAyG70i8Q2QkbizZaLu1NN0BaSfgwIbE1Wu8tqJx&#10;SpNu5e0JXODo359+fy63s+3FmUbfOdawXCgQxLUzHTca3g67uw0IH5AN9o5Jwxd52FbXVyUWxl34&#10;lc770IhYwr5ADW0IQyGlr1uy6BduII67kxsthjiOjTQjXmK57eVKqUxa7DheaHGgx5bqj/1kNWCW&#10;mM+X0/3z4WnKMG9mtUvflda3N0v1ACLQHP5g+NGP6lBFp6Ob2HjRa0hVkkRUQ54kKYhIrH+TY0zy&#10;VQqyKuX/H6pvUEsDBBQAAAAIAIdO4kAnuKRjqQEAAHIDAAAOAAAAZHJzL2Uyb0RvYy54bWytU01v&#10;2zAMvQ/ofxB0b+ykw1YYcQpsQXoptgLdfoAiS7YAfYFUYuffj5K9rOsuPUwHmRSpR75HefswOcvO&#10;CtAE3/L1quZMeRk64/uW//xxuL3nDJPwnbDBq5ZfFPKH3c2H7RgbtQlDsJ0CRiAemzG2fEgpNlWF&#10;clBO4CpE5SmoAziRyIW+6kCMhO5stanrT9UYoIsQpEKk0/0c5AsivAcwaG2k2gd5csqnGRWUFYko&#10;4WAi8l3pVmsl03etUSVmW05MU9mpCNnHvFe7rWh6EHEwcmlBvKeFN5ycMJ6KXqH2Igl2AvMPlDMS&#10;AgadVjK4aiZSFCEW6/qNNi+DiKpwIakxXkXH/wcrv52fgZmu5RvOvHA08KcvWZUxYkPBl/gMi4dk&#10;ZoqTBpe/1DybipKXq5JqSkzS4XrzuabFmaTYXf3xnmyCqf7cjoDpUQXHstFyoEkVAcX5CdOc+jsl&#10;F8NgTXcw1hYH+uNXC+wsaKqHshb0v9Ksz8k+5Gsz4nyiyrtYymSeM7Nspek4LXSPobuQNKcIph+o&#10;w3UpkZNoFIXK8mzyrF/7ZL/+VX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t0y4TXAAAACwEA&#10;AA8AAAAAAAAAAQAgAAAAIgAAAGRycy9kb3ducmV2LnhtbFBLAQIUABQAAAAIAIdO4kAnuKRjqQEA&#10;AHIDAAAOAAAAAAAAAAEAIAAAACYBAABkcnMvZTJvRG9jLnhtbFBLBQYAAAAABgAGAFkBAABBBQAA&#10;AAA=&#10;">
                <v:fill on="t" focussize="0,0"/>
                <v:stroke on="f"/>
                <v:imagedata o:title=""/>
                <o:lock v:ext="edit" aspectratio="f"/>
                <v:textbox>
                  <w:txbxContent>
                    <w:p>
                      <w:pPr>
                        <w:jc w:val="center"/>
                        <w:rPr>
                          <w:rFonts w:hint="eastAsia" w:eastAsia="宋体"/>
                          <w:sz w:val="24"/>
                          <w:szCs w:val="24"/>
                          <w:lang w:eastAsia="zh-CN"/>
                        </w:rPr>
                      </w:pPr>
                      <w:r>
                        <w:rPr>
                          <w:rFonts w:hint="eastAsia" w:ascii="宋体" w:eastAsia="宋体"/>
                          <w:sz w:val="24"/>
                          <w:szCs w:val="28"/>
                          <w:lang w:bidi="ar-SA"/>
                        </w:rPr>
                        <w:t>（征求意见稿）</w:t>
                      </w:r>
                    </w:p>
                  </w:txbxContent>
                </v:textbox>
              </v:rect>
            </w:pict>
          </mc:Fallback>
        </mc:AlternateContent>
      </w:r>
      <w:r>
        <w:rPr>
          <w:w w:val="100"/>
        </w:rPr>
        <mc:AlternateContent>
          <mc:Choice Requires="wps">
            <w:drawing>
              <wp:anchor distT="0" distB="0" distL="114300" distR="114300" simplePos="0" relativeHeight="251659264" behindDoc="1" locked="0" layoutInCell="1" allowOverlap="1">
                <wp:simplePos x="0" y="0"/>
                <wp:positionH relativeFrom="column">
                  <wp:posOffset>4413885</wp:posOffset>
                </wp:positionH>
                <wp:positionV relativeFrom="paragraph">
                  <wp:posOffset>-7435215</wp:posOffset>
                </wp:positionV>
                <wp:extent cx="1143000" cy="228600"/>
                <wp:effectExtent l="0" t="0" r="0" b="0"/>
                <wp:wrapNone/>
                <wp:docPr id="1" name="DT"/>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a:effectLst/>
                      </wps:spPr>
                      <wps:txbx>
                        <w:txbxContent>
                          <w:p/>
                        </w:txbxContent>
                      </wps:txbx>
                      <wps:bodyPr upright="1"/>
                    </wps:wsp>
                  </a:graphicData>
                </a:graphic>
              </wp:anchor>
            </w:drawing>
          </mc:Choice>
          <mc:Fallback>
            <w:pict>
              <v:rect id="DT" o:spid="_x0000_s1026" o:spt="1" style="position:absolute;left:0pt;margin-left:347.55pt;margin-top:-585.45pt;height:18pt;width:90pt;z-index:-251657216;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C/qPqtqQEAAHIDAAAOAAAAZHJzL2Uyb0RvYy54bWyt&#10;U01v2zAMvQ/YfxB0X2xnQ1EYcXpYkF2GrUC7H6DIki1AXyCV2Pn3o2Qv69pLD/NBJkXqke9R2j3M&#10;zrKLAjTBd7zZ1JwpL0Nv/NDxX8/HT/ecYRK+FzZ41fGrQv6w//hhN8VWbcMYbK+AEYjHdoodH1OK&#10;bVWhHJUTuAlReQrqAE4kcmGoehAToTtbbev6rpoC9BGCVIi0e1iCfEWE9wAGrY1UhyDPTvm0oIKy&#10;IhElHE1Evi/daq1k+qk1qsRsx4lpKisVIfuU12q/E+0AIo5Gri2I97TwipMTxlPRG9RBJMHOYN5A&#10;OSMhYNBpI4OrFiJFEWLR1K+0eRpFVIULSY3xJjr+P1j54/IIzPR0EzjzwtHAD89ZlSliS8Gn+Air&#10;h2RmirMGl//UPJuLktebkmpOTNJm03z5XNcksqTYdnt/RzbBVH9PR8D0TQXHstFxoEkVAcXlO6Yl&#10;9U9KLobBmv5orC0ODKevFthF0FSP5VvR/0mzPif7kI8tiMuOKvdiLZN5LsyylebTvNI9hf5K0pwj&#10;mGGkDptSIifRKAqV9drkWb/0yX75V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JihHaAAAA&#10;DwEAAA8AAAAAAAAAAQAgAAAAIgAAAGRycy9kb3ducmV2LnhtbFBLAQIUABQAAAAIAIdO4kC/qPqt&#10;qQEAAHIDAAAOAAAAAAAAAAEAIAAAACkBAABkcnMvZTJvRG9jLnhtbFBLBQYAAAAABgAGAFkBAABE&#10;BQAAAAA=&#10;">
                <v:fill on="t" focussize="0,0"/>
                <v:stroke on="f"/>
                <v:imagedata o:title=""/>
                <o:lock v:ext="edit" aspectratio="f"/>
                <v:textbox>
                  <w:txbxContent>
                    <w:p/>
                  </w:txbxContent>
                </v:textbox>
              </v:rect>
            </w:pict>
          </mc:Fallback>
        </mc:AlternateContent>
      </w:r>
      <w:r>
        <w:rPr>
          <w:w w:val="100"/>
        </w:rPr>
        <mc:AlternateContent>
          <mc:Choice Requires="wps">
            <w:drawing>
              <wp:anchor distT="0" distB="0" distL="114300" distR="114300" simplePos="0" relativeHeight="251663360" behindDoc="0" locked="0" layoutInCell="1" allowOverlap="1">
                <wp:simplePos x="0" y="0"/>
                <wp:positionH relativeFrom="column">
                  <wp:posOffset>-464820</wp:posOffset>
                </wp:positionH>
                <wp:positionV relativeFrom="paragraph">
                  <wp:posOffset>-7021195</wp:posOffset>
                </wp:positionV>
                <wp:extent cx="6120130" cy="0"/>
                <wp:effectExtent l="0" t="0" r="0" b="0"/>
                <wp:wrapNone/>
                <wp:docPr id="6" name="直线 6"/>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6" o:spid="_x0000_s1026" o:spt="20" style="position:absolute;left:0pt;margin-left:-36.6pt;margin-top:-552.85pt;height:0pt;width:481.9pt;z-index:251663360;mso-width-relative:page;mso-height-relative:page;" filled="f" stroked="t" coordsize="21600,21600" o:gfxdata="UEsDBAoAAAAAAIdO4kAAAAAAAAAAAAAAAAAEAAAAZHJzL1BLAwQUAAAACACHTuJAOyWRoNgAAAAP&#10;AQAADwAAAGRycy9kb3ducmV2LnhtbE2PPU/DMBCGdyT+g3VILFVrJxVtCXE6ANlYKCDWa3IkEfE5&#10;jd0P+PUcS2G7j0fvPZevT65XBxpD59lCMjOgiCtfd9xYeH0ppytQISLX2HsmC18UYF1cXuSY1f7I&#10;z3TYxEZJCIcMLbQxDpnWoWrJYZj5gVh2H350GKUdG12PeJRw1+vUmIV22LFcaHGg+5aqz83eWQjl&#10;G+3K70k1Me/zxlO6e3h6RGuvrxJzByrSKf7B8Ksv6lCI09bvuQ6qtzBdzlNBpUgSc7MEJczq1ixA&#10;bc8zXeT6/x/FD1BLAwQUAAAACACHTuJAGdh2Q+QBAADdAwAADgAAAGRycy9lMm9Eb2MueG1srVNL&#10;btswEN0X6B0I7mvZLmK0guUs4qabojXQ5gBjkpII8AcOY9ln6TW66qbHyTU6pBQ3TTZeRAtqyBm+&#10;mfdmuL4+WsMOKqL2ruGL2Zwz5YSX2nUNv/tx++4DZ5jASTDeqYafFPLrzds36yHUaul7b6SKjEAc&#10;1kNoeJ9SqKsKRa8s4MwH5cjZ+mgh0TZ2lYwwELo11XI+X1WDjzJELxQinW5HJ58Q4yWAvm21UFsv&#10;7q1yaUSNykAiStjrgHxTqm1bJdK3tkWVmGk4MU1lpSRk7/NabdZQdxFCr8VUAlxSwjNOFrSjpGeo&#10;LSRg91G/gLJaRI++TTPhbTUSKYoQi8X8mTbfewiqcCGpMZxFx9eDFV8Pu8i0bPiKMweWGv7w89fD&#10;7z9slbUZAtYUcuN2cdph2MVM9NhGm/9EgR2LnqeznuqYmKDD1YJIvSepxaOv+ncxREyflbcsGw03&#10;2mWqUMPhCyZKRqGPIfnYODY0/OPV8orggOaupX6TaQPVjq4rd9EbLW+1MfkGxm5/YyI7QO59+TIl&#10;wv0vLCfZAvZjXHGNU9ErkJ+cZOkUSBVHj4HnEqySnBlFbydbBAh1Am0uiaTUxuULqkzmxDNrPKqa&#10;rb2XpyJ2lXfU9VLxNKF5rJ7uyX76Kj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slkaDYAAAA&#10;DwEAAA8AAAAAAAAAAQAgAAAAIgAAAGRycy9kb3ducmV2LnhtbFBLAQIUABQAAAAIAIdO4kAZ2HZD&#10;5AEAAN0DAAAOAAAAAAAAAAEAIAAAACcBAABkcnMvZTJvRG9jLnhtbFBLBQYAAAAABgAGAFkBAAB9&#10;BQAAAAA=&#10;">
                <v:fill on="f" focussize="0,0"/>
                <v:stroke color="#000000" joinstyle="round"/>
                <v:imagedata o:title=""/>
                <o:lock v:ext="edit" aspectratio="f"/>
              </v:line>
            </w:pict>
          </mc:Fallback>
        </mc:AlternateContent>
      </w:r>
      <w:bookmarkEnd w:id="0"/>
      <w:r>
        <w:rPr>
          <w:rFonts w:hAnsi="黑体"/>
        </w:rPr>
        <w:t>   </w:t>
      </w:r>
      <w:r>
        <w:rPr>
          <w:rStyle w:val="76"/>
          <w:rFonts w:hint="eastAsia"/>
        </w:rPr>
        <w:t>发布</w:t>
      </w:r>
    </w:p>
    <w:p>
      <w:pPr>
        <w:pStyle w:val="129"/>
        <w:framePr w:w="0" w:hRule="auto" w:hSpace="0" w:wrap="auto" w:vAnchor="margin" w:hAnchor="text" w:xAlign="left" w:yAlign="inline"/>
        <w:sectPr>
          <w:headerReference r:id="rId3" w:type="even"/>
          <w:pgSz w:w="11906" w:h="16838"/>
          <w:pgMar w:top="567" w:right="1134" w:bottom="1134" w:left="1417" w:header="0" w:footer="0" w:gutter="0"/>
          <w:pgNumType w:start="1"/>
          <w:cols w:space="720" w:num="1"/>
          <w:docGrid w:type="lines" w:linePitch="312" w:charSpace="0"/>
        </w:sectPr>
      </w:pPr>
    </w:p>
    <w:p>
      <w:pPr>
        <w:jc w:val="center"/>
        <w:rPr>
          <w:rFonts w:ascii="黑体" w:hAnsi="黑体" w:eastAsia="黑体" w:cs="黑体"/>
          <w:sz w:val="32"/>
          <w:szCs w:val="32"/>
        </w:rPr>
      </w:pPr>
      <w:bookmarkStart w:id="1" w:name="_Toc17470"/>
      <w:bookmarkStart w:id="2" w:name="_Toc30813"/>
      <w:bookmarkStart w:id="3" w:name="_Toc15247"/>
      <w:bookmarkStart w:id="4" w:name="_Toc4703"/>
      <w:r>
        <w:rPr>
          <w:rFonts w:hint="eastAsia" w:ascii="黑体" w:hAnsi="黑体" w:eastAsia="黑体" w:cs="黑体"/>
          <w:sz w:val="32"/>
          <w:szCs w:val="32"/>
        </w:rPr>
        <w:t>目</w:t>
      </w:r>
      <w:bookmarkStart w:id="5" w:name="BKML"/>
      <w:r>
        <w:rPr>
          <w:rFonts w:hint="eastAsia" w:ascii="黑体" w:hAnsi="黑体" w:eastAsia="黑体" w:cs="黑体"/>
          <w:sz w:val="32"/>
          <w:szCs w:val="32"/>
        </w:rPr>
        <w:t>  次</w:t>
      </w:r>
      <w:bookmarkEnd w:id="1"/>
      <w:bookmarkEnd w:id="2"/>
      <w:bookmarkEnd w:id="3"/>
      <w:bookmarkEnd w:id="4"/>
      <w:bookmarkEnd w:id="5"/>
    </w:p>
    <w:p>
      <w:pPr>
        <w:pStyle w:val="29"/>
        <w:bidi w:val="0"/>
      </w:pPr>
      <w:r>
        <w:rPr>
          <w:rFonts w:hint="eastAsia"/>
        </w:rPr>
        <w:fldChar w:fldCharType="begin"/>
      </w:r>
      <w:r>
        <w:rPr>
          <w:rFonts w:hint="eastAsia"/>
        </w:rPr>
        <w:instrText xml:space="preserve">TOC \o "1-1" \h \u </w:instrText>
      </w:r>
      <w:r>
        <w:rPr>
          <w:rFonts w:hint="eastAsia"/>
        </w:rPr>
        <w:fldChar w:fldCharType="separate"/>
      </w:r>
      <w:r>
        <w:rPr>
          <w:rFonts w:hint="eastAsia"/>
        </w:rPr>
        <w:fldChar w:fldCharType="begin"/>
      </w:r>
      <w:r>
        <w:rPr>
          <w:rFonts w:hint="eastAsia"/>
        </w:rPr>
        <w:instrText xml:space="preserve"> HYPERLINK \l _Toc19823 </w:instrText>
      </w:r>
      <w:r>
        <w:rPr>
          <w:rFonts w:hint="eastAsia"/>
        </w:rPr>
        <w:fldChar w:fldCharType="separate"/>
      </w:r>
      <w:r>
        <w:rPr>
          <w:rFonts w:hint="eastAsia"/>
        </w:rPr>
        <w:t>前</w:t>
      </w:r>
      <w:r>
        <w:rPr>
          <w:rFonts w:hint="eastAsia"/>
          <w:lang w:val="en-US" w:eastAsia="zh-CN"/>
        </w:rPr>
        <w:t xml:space="preserve">  </w:t>
      </w:r>
      <w:r>
        <w:rPr>
          <w:rFonts w:hint="eastAsia"/>
        </w:rPr>
        <w:t>言</w:t>
      </w:r>
      <w:r>
        <w:tab/>
      </w:r>
      <w:r>
        <w:fldChar w:fldCharType="begin"/>
      </w:r>
      <w:r>
        <w:instrText xml:space="preserve"> PAGEREF _Toc19823 \h </w:instrText>
      </w:r>
      <w:r>
        <w:fldChar w:fldCharType="separate"/>
      </w:r>
      <w:r>
        <w:t>II</w:t>
      </w:r>
      <w:r>
        <w:fldChar w:fldCharType="end"/>
      </w:r>
      <w:r>
        <w:rPr>
          <w:rFonts w:hint="eastAsia"/>
        </w:rPr>
        <w:fldChar w:fldCharType="end"/>
      </w:r>
    </w:p>
    <w:p>
      <w:pPr>
        <w:pStyle w:val="29"/>
        <w:bidi w:val="0"/>
      </w:pPr>
      <w:r>
        <w:rPr>
          <w:rFonts w:hint="eastAsia"/>
        </w:rPr>
        <w:fldChar w:fldCharType="begin"/>
      </w:r>
      <w:r>
        <w:rPr>
          <w:rFonts w:hint="eastAsia"/>
        </w:rPr>
        <w:instrText xml:space="preserve"> HYPERLINK \l _Toc20195 </w:instrText>
      </w:r>
      <w:r>
        <w:rPr>
          <w:rFonts w:hint="eastAsia"/>
        </w:rPr>
        <w:fldChar w:fldCharType="separate"/>
      </w:r>
      <w:r>
        <w:rPr>
          <w:rFonts w:hint="eastAsia"/>
        </w:rPr>
        <w:t>1 范围</w:t>
      </w:r>
      <w:r>
        <w:tab/>
      </w:r>
      <w:r>
        <w:fldChar w:fldCharType="begin"/>
      </w:r>
      <w:r>
        <w:instrText xml:space="preserve"> PAGEREF _Toc20195 \h </w:instrText>
      </w:r>
      <w:r>
        <w:fldChar w:fldCharType="separate"/>
      </w:r>
      <w:r>
        <w:t>1</w:t>
      </w:r>
      <w:r>
        <w:fldChar w:fldCharType="end"/>
      </w:r>
      <w:r>
        <w:rPr>
          <w:rFonts w:hint="eastAsia"/>
        </w:rPr>
        <w:fldChar w:fldCharType="end"/>
      </w:r>
    </w:p>
    <w:p>
      <w:pPr>
        <w:pStyle w:val="29"/>
        <w:bidi w:val="0"/>
      </w:pPr>
      <w:r>
        <w:rPr>
          <w:rFonts w:hint="eastAsia"/>
        </w:rPr>
        <w:fldChar w:fldCharType="begin"/>
      </w:r>
      <w:r>
        <w:rPr>
          <w:rFonts w:hint="eastAsia"/>
        </w:rPr>
        <w:instrText xml:space="preserve"> HYPERLINK \l _Toc3532 </w:instrText>
      </w:r>
      <w:r>
        <w:rPr>
          <w:rFonts w:hint="eastAsia"/>
        </w:rPr>
        <w:fldChar w:fldCharType="separate"/>
      </w:r>
      <w:r>
        <w:rPr>
          <w:rFonts w:hint="eastAsia"/>
        </w:rPr>
        <w:t>2 规范性引用文件</w:t>
      </w:r>
      <w:r>
        <w:tab/>
      </w:r>
      <w:r>
        <w:fldChar w:fldCharType="begin"/>
      </w:r>
      <w:r>
        <w:instrText xml:space="preserve"> PAGEREF _Toc3532 \h </w:instrText>
      </w:r>
      <w:r>
        <w:fldChar w:fldCharType="separate"/>
      </w:r>
      <w:r>
        <w:t>1</w:t>
      </w:r>
      <w:r>
        <w:fldChar w:fldCharType="end"/>
      </w:r>
      <w:r>
        <w:rPr>
          <w:rFonts w:hint="eastAsia"/>
        </w:rPr>
        <w:fldChar w:fldCharType="end"/>
      </w:r>
    </w:p>
    <w:p>
      <w:pPr>
        <w:pStyle w:val="29"/>
        <w:bidi w:val="0"/>
      </w:pPr>
      <w:r>
        <w:rPr>
          <w:rFonts w:hint="eastAsia"/>
        </w:rPr>
        <w:fldChar w:fldCharType="begin"/>
      </w:r>
      <w:r>
        <w:rPr>
          <w:rFonts w:hint="eastAsia"/>
        </w:rPr>
        <w:instrText xml:space="preserve"> HYPERLINK \l _Toc28021 </w:instrText>
      </w:r>
      <w:r>
        <w:rPr>
          <w:rFonts w:hint="eastAsia"/>
        </w:rPr>
        <w:fldChar w:fldCharType="separate"/>
      </w:r>
      <w:r>
        <w:rPr>
          <w:rFonts w:hint="eastAsia"/>
        </w:rPr>
        <w:t>3 术语和定义</w:t>
      </w:r>
      <w:r>
        <w:tab/>
      </w:r>
      <w:r>
        <w:fldChar w:fldCharType="begin"/>
      </w:r>
      <w:r>
        <w:instrText xml:space="preserve"> PAGEREF _Toc28021 \h </w:instrText>
      </w:r>
      <w:r>
        <w:fldChar w:fldCharType="separate"/>
      </w:r>
      <w:r>
        <w:t>1</w:t>
      </w:r>
      <w:r>
        <w:fldChar w:fldCharType="end"/>
      </w:r>
      <w:r>
        <w:rPr>
          <w:rFonts w:hint="eastAsia"/>
        </w:rPr>
        <w:fldChar w:fldCharType="end"/>
      </w:r>
    </w:p>
    <w:p>
      <w:pPr>
        <w:pStyle w:val="29"/>
        <w:bidi w:val="0"/>
      </w:pPr>
      <w:r>
        <w:rPr>
          <w:rFonts w:hint="eastAsia"/>
        </w:rPr>
        <w:fldChar w:fldCharType="begin"/>
      </w:r>
      <w:r>
        <w:rPr>
          <w:rFonts w:hint="eastAsia"/>
        </w:rPr>
        <w:instrText xml:space="preserve"> HYPERLINK \l _Toc1724 </w:instrText>
      </w:r>
      <w:r>
        <w:rPr>
          <w:rFonts w:hint="eastAsia"/>
        </w:rPr>
        <w:fldChar w:fldCharType="separate"/>
      </w:r>
      <w:r>
        <w:rPr>
          <w:rFonts w:hint="eastAsia"/>
        </w:rPr>
        <w:t>4 设计原则</w:t>
      </w:r>
      <w:r>
        <w:tab/>
      </w:r>
      <w:r>
        <w:fldChar w:fldCharType="begin"/>
      </w:r>
      <w:r>
        <w:instrText xml:space="preserve"> PAGEREF _Toc1724 \h </w:instrText>
      </w:r>
      <w:r>
        <w:fldChar w:fldCharType="separate"/>
      </w:r>
      <w:r>
        <w:t>2</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_Toc10704 </w:instrText>
      </w:r>
      <w:r>
        <w:rPr>
          <w:rFonts w:hint="eastAsia"/>
        </w:rPr>
        <w:fldChar w:fldCharType="separate"/>
      </w:r>
      <w:r>
        <w:rPr>
          <w:rFonts w:hint="eastAsia"/>
        </w:rPr>
        <w:t>4.1</w:t>
      </w:r>
      <w:r>
        <w:rPr>
          <w:rFonts w:hint="eastAsia"/>
          <w:lang w:val="en-US" w:eastAsia="zh-CN"/>
        </w:rPr>
        <w:t xml:space="preserve"> </w:t>
      </w:r>
      <w:r>
        <w:rPr>
          <w:rFonts w:hint="eastAsia"/>
        </w:rPr>
        <w:t>总体原则</w:t>
      </w:r>
      <w:r>
        <w:tab/>
      </w:r>
      <w:r>
        <w:fldChar w:fldCharType="begin"/>
      </w:r>
      <w:r>
        <w:instrText xml:space="preserve"> PAGEREF _Toc10704 \h </w:instrText>
      </w:r>
      <w:r>
        <w:fldChar w:fldCharType="separate"/>
      </w:r>
      <w:r>
        <w:t>2</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_Toc27849 </w:instrText>
      </w:r>
      <w:r>
        <w:rPr>
          <w:rFonts w:hint="eastAsia"/>
        </w:rPr>
        <w:fldChar w:fldCharType="separate"/>
      </w:r>
      <w:r>
        <w:rPr>
          <w:rFonts w:hint="eastAsia"/>
        </w:rPr>
        <w:t>4.2 标准化配置要求</w:t>
      </w:r>
      <w:r>
        <w:tab/>
      </w:r>
      <w:r>
        <w:fldChar w:fldCharType="begin"/>
      </w:r>
      <w:r>
        <w:instrText xml:space="preserve"> PAGEREF _Toc27849 \h </w:instrText>
      </w:r>
      <w:r>
        <w:fldChar w:fldCharType="separate"/>
      </w:r>
      <w:r>
        <w:t>2</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_Toc29811 </w:instrText>
      </w:r>
      <w:r>
        <w:rPr>
          <w:rFonts w:hint="eastAsia"/>
        </w:rPr>
        <w:fldChar w:fldCharType="separate"/>
      </w:r>
      <w:r>
        <w:rPr>
          <w:rFonts w:hint="eastAsia"/>
        </w:rPr>
        <w:t>4.3</w:t>
      </w:r>
      <w:r>
        <w:rPr>
          <w:rFonts w:hint="eastAsia"/>
          <w:lang w:val="en-US" w:eastAsia="zh-CN"/>
        </w:rPr>
        <w:t xml:space="preserve"> </w:t>
      </w:r>
      <w:r>
        <w:rPr>
          <w:rFonts w:hint="eastAsia"/>
        </w:rPr>
        <w:t>绝缘配合及过电压保护</w:t>
      </w:r>
      <w:r>
        <w:tab/>
      </w:r>
      <w:r>
        <w:fldChar w:fldCharType="begin"/>
      </w:r>
      <w:r>
        <w:instrText xml:space="preserve"> PAGEREF _Toc29811 \h </w:instrText>
      </w:r>
      <w:r>
        <w:fldChar w:fldCharType="separate"/>
      </w:r>
      <w:r>
        <w:t>2</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_Toc11300 </w:instrText>
      </w:r>
      <w:r>
        <w:rPr>
          <w:rFonts w:hint="eastAsia"/>
        </w:rPr>
        <w:fldChar w:fldCharType="separate"/>
      </w:r>
      <w:r>
        <w:rPr>
          <w:rFonts w:hint="eastAsia"/>
        </w:rPr>
        <w:t>4.4 高海拔地区的选型原则</w:t>
      </w:r>
      <w:r>
        <w:tab/>
      </w:r>
      <w:r>
        <w:fldChar w:fldCharType="begin"/>
      </w:r>
      <w:r>
        <w:instrText xml:space="preserve"> PAGEREF _Toc11300 \h </w:instrText>
      </w:r>
      <w:r>
        <w:fldChar w:fldCharType="separate"/>
      </w:r>
      <w:r>
        <w:t>3</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_Toc6065 </w:instrText>
      </w:r>
      <w:r>
        <w:rPr>
          <w:rFonts w:hint="eastAsia"/>
        </w:rPr>
        <w:fldChar w:fldCharType="separate"/>
      </w:r>
      <w:r>
        <w:rPr>
          <w:rFonts w:hint="eastAsia"/>
        </w:rPr>
        <w:t>4.5 电缆的选择和敷设</w:t>
      </w:r>
      <w:r>
        <w:tab/>
      </w:r>
      <w:r>
        <w:fldChar w:fldCharType="begin"/>
      </w:r>
      <w:r>
        <w:instrText xml:space="preserve"> PAGEREF _Toc6065 \h </w:instrText>
      </w:r>
      <w:r>
        <w:fldChar w:fldCharType="separate"/>
      </w:r>
      <w:r>
        <w:t>3</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_Toc24859 </w:instrText>
      </w:r>
      <w:r>
        <w:rPr>
          <w:rFonts w:hint="eastAsia"/>
        </w:rPr>
        <w:fldChar w:fldCharType="separate"/>
      </w:r>
      <w:r>
        <w:rPr>
          <w:rFonts w:hint="eastAsia"/>
        </w:rPr>
        <w:t>4.6 线路保护和通信</w:t>
      </w:r>
      <w:r>
        <w:tab/>
      </w:r>
      <w:r>
        <w:fldChar w:fldCharType="begin"/>
      </w:r>
      <w:r>
        <w:instrText xml:space="preserve"> PAGEREF _Toc24859 \h </w:instrText>
      </w:r>
      <w:r>
        <w:fldChar w:fldCharType="separate"/>
      </w:r>
      <w:r>
        <w:t>3</w:t>
      </w:r>
      <w:r>
        <w:fldChar w:fldCharType="end"/>
      </w:r>
      <w:r>
        <w:rPr>
          <w:rFonts w:hint="eastAsia"/>
        </w:rPr>
        <w:fldChar w:fldCharType="end"/>
      </w:r>
      <w:bookmarkStart w:id="121" w:name="_GoBack"/>
      <w:bookmarkEnd w:id="121"/>
    </w:p>
    <w:p>
      <w:pPr>
        <w:pStyle w:val="39"/>
        <w:bidi w:val="0"/>
        <w:ind w:firstLine="210" w:firstLineChars="100"/>
      </w:pPr>
      <w:r>
        <w:rPr>
          <w:rFonts w:hint="eastAsia"/>
        </w:rPr>
        <w:fldChar w:fldCharType="begin"/>
      </w:r>
      <w:r>
        <w:rPr>
          <w:rFonts w:hint="eastAsia"/>
        </w:rPr>
        <w:instrText xml:space="preserve"> HYPERLINK \l _Toc21726 </w:instrText>
      </w:r>
      <w:r>
        <w:rPr>
          <w:rFonts w:hint="eastAsia"/>
        </w:rPr>
        <w:fldChar w:fldCharType="separate"/>
      </w:r>
      <w:r>
        <w:rPr>
          <w:rFonts w:hint="eastAsia"/>
        </w:rPr>
        <w:t>4.7 消防要求</w:t>
      </w:r>
      <w:r>
        <w:tab/>
      </w:r>
      <w:r>
        <w:fldChar w:fldCharType="begin"/>
      </w:r>
      <w:r>
        <w:instrText xml:space="preserve"> PAGEREF _Toc21726 \h </w:instrText>
      </w:r>
      <w:r>
        <w:fldChar w:fldCharType="separate"/>
      </w:r>
      <w:r>
        <w:t>3</w:t>
      </w:r>
      <w:r>
        <w:fldChar w:fldCharType="end"/>
      </w:r>
      <w:r>
        <w:rPr>
          <w:rFonts w:hint="eastAsia"/>
        </w:rPr>
        <w:fldChar w:fldCharType="end"/>
      </w:r>
    </w:p>
    <w:p>
      <w:pPr>
        <w:pStyle w:val="29"/>
        <w:bidi w:val="0"/>
      </w:pPr>
      <w:r>
        <w:rPr>
          <w:rFonts w:hint="eastAsia"/>
        </w:rPr>
        <w:fldChar w:fldCharType="begin"/>
      </w:r>
      <w:r>
        <w:rPr>
          <w:rFonts w:hint="eastAsia"/>
        </w:rPr>
        <w:instrText xml:space="preserve"> HYPERLINK \l _Toc27904 </w:instrText>
      </w:r>
      <w:r>
        <w:rPr>
          <w:rFonts w:hint="eastAsia"/>
        </w:rPr>
        <w:fldChar w:fldCharType="separate"/>
      </w:r>
      <w:r>
        <w:rPr>
          <w:rFonts w:hint="eastAsia"/>
        </w:rPr>
        <w:t>5</w:t>
      </w:r>
      <w:r>
        <w:rPr>
          <w:rFonts w:hint="eastAsia"/>
          <w:lang w:val="en-US" w:eastAsia="zh-CN"/>
        </w:rPr>
        <w:t xml:space="preserve"> </w:t>
      </w:r>
      <w:r>
        <w:rPr>
          <w:rFonts w:hint="eastAsia"/>
        </w:rPr>
        <w:t>主要设计内容</w:t>
      </w:r>
      <w:r>
        <w:tab/>
      </w:r>
      <w:r>
        <w:fldChar w:fldCharType="begin"/>
      </w:r>
      <w:r>
        <w:instrText xml:space="preserve"> PAGEREF _Toc27904 \h </w:instrText>
      </w:r>
      <w:r>
        <w:fldChar w:fldCharType="separate"/>
      </w:r>
      <w:r>
        <w:t>3</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_Toc24589 </w:instrText>
      </w:r>
      <w:r>
        <w:rPr>
          <w:rFonts w:hint="eastAsia"/>
        </w:rPr>
        <w:fldChar w:fldCharType="separate"/>
      </w:r>
      <w:r>
        <w:rPr>
          <w:rFonts w:hint="eastAsia"/>
        </w:rPr>
        <w:t>5.1 供电接线</w:t>
      </w:r>
      <w:r>
        <w:tab/>
      </w:r>
      <w:r>
        <w:fldChar w:fldCharType="begin"/>
      </w:r>
      <w:r>
        <w:instrText xml:space="preserve"> PAGEREF _Toc24589 \h </w:instrText>
      </w:r>
      <w:r>
        <w:fldChar w:fldCharType="separate"/>
      </w:r>
      <w:r>
        <w:t>3</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_Toc21372 </w:instrText>
      </w:r>
      <w:r>
        <w:rPr>
          <w:rFonts w:hint="eastAsia"/>
        </w:rPr>
        <w:fldChar w:fldCharType="separate"/>
      </w:r>
      <w:r>
        <w:rPr>
          <w:rFonts w:hint="eastAsia"/>
        </w:rPr>
        <w:t>5.2 电源容量及变压器选型</w:t>
      </w:r>
      <w:r>
        <w:tab/>
      </w:r>
      <w:r>
        <w:fldChar w:fldCharType="begin"/>
      </w:r>
      <w:r>
        <w:instrText xml:space="preserve"> PAGEREF _Toc21372 \h </w:instrText>
      </w:r>
      <w:r>
        <w:fldChar w:fldCharType="separate"/>
      </w:r>
      <w:r>
        <w:t>3</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_Toc11122 </w:instrText>
      </w:r>
      <w:r>
        <w:rPr>
          <w:rFonts w:hint="eastAsia"/>
        </w:rPr>
        <w:fldChar w:fldCharType="separate"/>
      </w:r>
      <w:r>
        <w:rPr>
          <w:rFonts w:hint="eastAsia"/>
        </w:rPr>
        <w:t>5.3 电缆分支箱</w:t>
      </w:r>
      <w:r>
        <w:tab/>
      </w:r>
      <w:r>
        <w:fldChar w:fldCharType="begin"/>
      </w:r>
      <w:r>
        <w:instrText xml:space="preserve"> PAGEREF _Toc11122 \h </w:instrText>
      </w:r>
      <w:r>
        <w:fldChar w:fldCharType="separate"/>
      </w:r>
      <w:r>
        <w:t>4</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_Toc21786 </w:instrText>
      </w:r>
      <w:r>
        <w:rPr>
          <w:rFonts w:hint="eastAsia"/>
        </w:rPr>
        <w:fldChar w:fldCharType="separate"/>
      </w:r>
      <w:r>
        <w:rPr>
          <w:rFonts w:hint="eastAsia"/>
        </w:rPr>
        <w:t>5.4 电能计量箱及电能表</w:t>
      </w:r>
      <w:r>
        <w:tab/>
      </w:r>
      <w:r>
        <w:fldChar w:fldCharType="begin"/>
      </w:r>
      <w:r>
        <w:instrText xml:space="preserve"> PAGEREF _Toc21786 \h </w:instrText>
      </w:r>
      <w:r>
        <w:fldChar w:fldCharType="separate"/>
      </w:r>
      <w:r>
        <w:t>5</w:t>
      </w:r>
      <w:r>
        <w:fldChar w:fldCharType="end"/>
      </w:r>
      <w:r>
        <w:rPr>
          <w:rFonts w:hint="eastAsia"/>
        </w:rPr>
        <w:fldChar w:fldCharType="end"/>
      </w:r>
    </w:p>
    <w:p>
      <w:pPr>
        <w:pStyle w:val="39"/>
        <w:bidi w:val="0"/>
        <w:ind w:firstLine="210" w:firstLineChars="100"/>
      </w:pPr>
      <w:r>
        <w:rPr>
          <w:rFonts w:hint="eastAsia"/>
        </w:rPr>
        <w:fldChar w:fldCharType="begin"/>
      </w:r>
      <w:r>
        <w:rPr>
          <w:rFonts w:hint="eastAsia"/>
        </w:rPr>
        <w:instrText xml:space="preserve"> HYPERLINK \l _Toc8173 </w:instrText>
      </w:r>
      <w:r>
        <w:rPr>
          <w:rFonts w:hint="eastAsia"/>
        </w:rPr>
        <w:fldChar w:fldCharType="separate"/>
      </w:r>
      <w:r>
        <w:rPr>
          <w:rFonts w:hint="eastAsia"/>
        </w:rPr>
        <w:t>5.5</w:t>
      </w:r>
      <w:r>
        <w:rPr>
          <w:rFonts w:hint="eastAsia"/>
          <w:lang w:val="en-US" w:eastAsia="zh-CN"/>
        </w:rPr>
        <w:t xml:space="preserve"> </w:t>
      </w:r>
      <w:r>
        <w:rPr>
          <w:rFonts w:hint="eastAsia"/>
        </w:rPr>
        <w:t>电力电缆选配</w:t>
      </w:r>
      <w:r>
        <w:tab/>
      </w:r>
      <w:r>
        <w:fldChar w:fldCharType="begin"/>
      </w:r>
      <w:r>
        <w:instrText xml:space="preserve"> PAGEREF _Toc8173 \h </w:instrText>
      </w:r>
      <w:r>
        <w:fldChar w:fldCharType="separate"/>
      </w:r>
      <w:r>
        <w:t>5</w:t>
      </w:r>
      <w:r>
        <w:fldChar w:fldCharType="end"/>
      </w:r>
      <w:r>
        <w:rPr>
          <w:rFonts w:hint="eastAsia"/>
        </w:rPr>
        <w:fldChar w:fldCharType="end"/>
      </w:r>
    </w:p>
    <w:p>
      <w:pPr>
        <w:pStyle w:val="39"/>
        <w:bidi w:val="0"/>
        <w:ind w:firstLine="210" w:firstLineChars="100"/>
        <w:rPr>
          <w:rFonts w:hint="eastAsia"/>
        </w:rPr>
      </w:pPr>
      <w:r>
        <w:rPr>
          <w:rFonts w:hint="eastAsia"/>
        </w:rPr>
        <w:fldChar w:fldCharType="begin"/>
      </w:r>
      <w:r>
        <w:rPr>
          <w:rFonts w:hint="eastAsia"/>
        </w:rPr>
        <w:instrText xml:space="preserve"> HYPERLINK \l _Toc85 </w:instrText>
      </w:r>
      <w:r>
        <w:rPr>
          <w:rFonts w:hint="eastAsia"/>
        </w:rPr>
        <w:fldChar w:fldCharType="separate"/>
      </w:r>
      <w:r>
        <w:rPr>
          <w:rFonts w:hint="eastAsia"/>
        </w:rPr>
        <w:t>5.6 电缆通道</w:t>
      </w:r>
      <w:r>
        <w:rPr>
          <w:rFonts w:hint="eastAsia"/>
        </w:rPr>
        <w:tab/>
      </w:r>
      <w:r>
        <w:rPr>
          <w:rFonts w:hint="eastAsia"/>
        </w:rPr>
        <w:fldChar w:fldCharType="begin"/>
      </w:r>
      <w:r>
        <w:rPr>
          <w:rFonts w:hint="eastAsia"/>
        </w:rPr>
        <w:instrText xml:space="preserve"> PAGEREF _Toc85 \h </w:instrText>
      </w:r>
      <w:r>
        <w:rPr>
          <w:rFonts w:hint="eastAsia"/>
        </w:rPr>
        <w:fldChar w:fldCharType="separate"/>
      </w:r>
      <w:r>
        <w:rPr>
          <w:rFonts w:hint="eastAsia"/>
        </w:rPr>
        <w:t>6</w:t>
      </w:r>
      <w:r>
        <w:rPr>
          <w:rFonts w:hint="eastAsia"/>
        </w:rPr>
        <w:fldChar w:fldCharType="end"/>
      </w:r>
      <w:r>
        <w:rPr>
          <w:rFonts w:hint="eastAsia"/>
        </w:rPr>
        <w:fldChar w:fldCharType="end"/>
      </w:r>
    </w:p>
    <w:p>
      <w:pPr>
        <w:pStyle w:val="39"/>
        <w:bidi w:val="0"/>
        <w:ind w:firstLine="210" w:firstLineChars="100"/>
        <w:rPr>
          <w:rFonts w:hint="eastAsia"/>
        </w:rPr>
      </w:pPr>
      <w:r>
        <w:rPr>
          <w:rFonts w:hint="eastAsia"/>
        </w:rPr>
        <w:fldChar w:fldCharType="begin"/>
      </w:r>
      <w:r>
        <w:rPr>
          <w:rFonts w:hint="eastAsia"/>
        </w:rPr>
        <w:instrText xml:space="preserve"> HYPERLINK \l _Toc26149 </w:instrText>
      </w:r>
      <w:r>
        <w:rPr>
          <w:rFonts w:hint="eastAsia"/>
        </w:rPr>
        <w:fldChar w:fldCharType="separate"/>
      </w:r>
      <w:r>
        <w:rPr>
          <w:rFonts w:hint="eastAsia"/>
        </w:rPr>
        <w:t>5.7 充电区域线缆要求</w:t>
      </w:r>
      <w:r>
        <w:rPr>
          <w:rFonts w:hint="eastAsia"/>
        </w:rPr>
        <w:tab/>
      </w:r>
      <w:r>
        <w:rPr>
          <w:rFonts w:hint="eastAsia"/>
          <w:lang w:val="en-US" w:eastAsia="zh-CN"/>
        </w:rPr>
        <w:t>7</w:t>
      </w:r>
      <w:r>
        <w:rPr>
          <w:rFonts w:hint="eastAsia"/>
        </w:rPr>
        <w:fldChar w:fldCharType="end"/>
      </w:r>
    </w:p>
    <w:p>
      <w:pPr>
        <w:pStyle w:val="29"/>
        <w:bidi w:val="0"/>
      </w:pPr>
      <w:r>
        <w:rPr>
          <w:rFonts w:hint="eastAsia"/>
        </w:rPr>
        <w:fldChar w:fldCharType="begin"/>
      </w:r>
      <w:r>
        <w:rPr>
          <w:rFonts w:hint="eastAsia"/>
        </w:rPr>
        <w:instrText xml:space="preserve"> HYPERLINK \l _Toc20797 </w:instrText>
      </w:r>
      <w:r>
        <w:rPr>
          <w:rFonts w:hint="eastAsia"/>
        </w:rPr>
        <w:fldChar w:fldCharType="separate"/>
      </w:r>
      <w:r>
        <w:rPr>
          <w:rFonts w:hint="eastAsia"/>
        </w:rPr>
        <w:t>6 设计方案</w:t>
      </w:r>
      <w:r>
        <w:tab/>
      </w:r>
      <w:r>
        <w:fldChar w:fldCharType="begin"/>
      </w:r>
      <w:r>
        <w:instrText xml:space="preserve"> PAGEREF _Toc20797 \h </w:instrText>
      </w:r>
      <w:r>
        <w:fldChar w:fldCharType="separate"/>
      </w:r>
      <w:r>
        <w:t>7</w:t>
      </w:r>
      <w:r>
        <w:fldChar w:fldCharType="end"/>
      </w:r>
      <w:r>
        <w:rPr>
          <w:rFonts w:hint="eastAsia"/>
        </w:rPr>
        <w:fldChar w:fldCharType="end"/>
      </w:r>
    </w:p>
    <w:p>
      <w:pPr>
        <w:pStyle w:val="39"/>
        <w:bidi w:val="0"/>
        <w:ind w:firstLine="210" w:firstLineChars="100"/>
        <w:rPr>
          <w:rFonts w:hint="eastAsia"/>
        </w:rPr>
      </w:pPr>
      <w:r>
        <w:rPr>
          <w:rFonts w:hint="eastAsia"/>
        </w:rPr>
        <w:fldChar w:fldCharType="begin"/>
      </w:r>
      <w:r>
        <w:rPr>
          <w:rFonts w:hint="eastAsia"/>
        </w:rPr>
        <w:instrText xml:space="preserve"> HYPERLINK \l _Toc31820 </w:instrText>
      </w:r>
      <w:r>
        <w:rPr>
          <w:rFonts w:hint="eastAsia"/>
        </w:rPr>
        <w:fldChar w:fldCharType="separate"/>
      </w:r>
      <w:r>
        <w:rPr>
          <w:rFonts w:hint="eastAsia"/>
        </w:rPr>
        <w:t>6.1 地上方案</w:t>
      </w:r>
      <w:r>
        <w:rPr>
          <w:rFonts w:hint="eastAsia"/>
        </w:rPr>
        <w:tab/>
      </w:r>
      <w:r>
        <w:rPr>
          <w:rFonts w:hint="eastAsia"/>
        </w:rPr>
        <w:fldChar w:fldCharType="begin"/>
      </w:r>
      <w:r>
        <w:rPr>
          <w:rFonts w:hint="eastAsia"/>
        </w:rPr>
        <w:instrText xml:space="preserve"> PAGEREF _Toc31820 \h </w:instrText>
      </w:r>
      <w:r>
        <w:rPr>
          <w:rFonts w:hint="eastAsia"/>
        </w:rPr>
        <w:fldChar w:fldCharType="separate"/>
      </w:r>
      <w:r>
        <w:rPr>
          <w:rFonts w:hint="eastAsia"/>
        </w:rPr>
        <w:t>7</w:t>
      </w:r>
      <w:r>
        <w:rPr>
          <w:rFonts w:hint="eastAsia"/>
        </w:rPr>
        <w:fldChar w:fldCharType="end"/>
      </w:r>
      <w:r>
        <w:rPr>
          <w:rFonts w:hint="eastAsia"/>
        </w:rPr>
        <w:fldChar w:fldCharType="end"/>
      </w:r>
    </w:p>
    <w:p>
      <w:pPr>
        <w:pStyle w:val="39"/>
        <w:bidi w:val="0"/>
        <w:ind w:firstLine="210" w:firstLineChars="100"/>
        <w:rPr>
          <w:rFonts w:hint="eastAsia"/>
        </w:rPr>
      </w:pPr>
      <w:r>
        <w:rPr>
          <w:rFonts w:hint="eastAsia"/>
        </w:rPr>
        <w:fldChar w:fldCharType="begin"/>
      </w:r>
      <w:r>
        <w:rPr>
          <w:rFonts w:hint="eastAsia"/>
        </w:rPr>
        <w:instrText xml:space="preserve"> HYPERLINK \l _Toc18007 </w:instrText>
      </w:r>
      <w:r>
        <w:rPr>
          <w:rFonts w:hint="eastAsia"/>
        </w:rPr>
        <w:fldChar w:fldCharType="separate"/>
      </w:r>
      <w:r>
        <w:rPr>
          <w:rFonts w:hint="eastAsia"/>
        </w:rPr>
        <w:t>6.2 地下方案</w:t>
      </w:r>
      <w:r>
        <w:rPr>
          <w:rFonts w:hint="eastAsia"/>
        </w:rPr>
        <w:tab/>
      </w:r>
      <w:r>
        <w:rPr>
          <w:rFonts w:hint="eastAsia"/>
        </w:rPr>
        <w:fldChar w:fldCharType="begin"/>
      </w:r>
      <w:r>
        <w:rPr>
          <w:rFonts w:hint="eastAsia"/>
        </w:rPr>
        <w:instrText xml:space="preserve"> PAGEREF _Toc18007 \h </w:instrText>
      </w:r>
      <w:r>
        <w:rPr>
          <w:rFonts w:hint="eastAsia"/>
        </w:rPr>
        <w:fldChar w:fldCharType="separate"/>
      </w:r>
      <w:r>
        <w:rPr>
          <w:rFonts w:hint="eastAsia"/>
        </w:rPr>
        <w:t>8</w:t>
      </w:r>
      <w:r>
        <w:rPr>
          <w:rFonts w:hint="eastAsia"/>
        </w:rPr>
        <w:fldChar w:fldCharType="end"/>
      </w:r>
      <w:r>
        <w:rPr>
          <w:rFonts w:hint="eastAsia"/>
        </w:rPr>
        <w:fldChar w:fldCharType="end"/>
      </w:r>
    </w:p>
    <w:p>
      <w:pPr>
        <w:pStyle w:val="29"/>
        <w:bidi w:val="0"/>
        <w:rPr>
          <w:rFonts w:hint="eastAsia"/>
        </w:rPr>
      </w:pPr>
      <w:r>
        <w:rPr>
          <w:rFonts w:hint="eastAsia"/>
        </w:rPr>
        <w:fldChar w:fldCharType="begin"/>
      </w:r>
      <w:r>
        <w:rPr>
          <w:rFonts w:hint="eastAsia"/>
        </w:rPr>
        <w:instrText xml:space="preserve"> HYPERLINK \l _Toc14808 </w:instrText>
      </w:r>
      <w:r>
        <w:rPr>
          <w:rFonts w:hint="eastAsia"/>
        </w:rPr>
        <w:fldChar w:fldCharType="separate"/>
      </w:r>
      <w:r>
        <w:rPr>
          <w:rFonts w:hint="eastAsia"/>
        </w:rPr>
        <w:t>附录A（资料性）地上方案设计图</w:t>
      </w:r>
      <w:r>
        <w:rPr>
          <w:rFonts w:hint="eastAsia"/>
        </w:rPr>
        <w:tab/>
      </w:r>
      <w:r>
        <w:rPr>
          <w:rFonts w:hint="eastAsia"/>
        </w:rPr>
        <w:fldChar w:fldCharType="begin"/>
      </w:r>
      <w:r>
        <w:rPr>
          <w:rFonts w:hint="eastAsia"/>
        </w:rPr>
        <w:instrText xml:space="preserve"> PAGEREF _Toc14808 \h </w:instrText>
      </w:r>
      <w:r>
        <w:rPr>
          <w:rFonts w:hint="eastAsia"/>
        </w:rPr>
        <w:fldChar w:fldCharType="separate"/>
      </w:r>
      <w:r>
        <w:rPr>
          <w:rFonts w:hint="eastAsia"/>
        </w:rPr>
        <w:t>10</w:t>
      </w:r>
      <w:r>
        <w:rPr>
          <w:rFonts w:hint="eastAsia"/>
        </w:rPr>
        <w:fldChar w:fldCharType="end"/>
      </w:r>
      <w:r>
        <w:rPr>
          <w:rFonts w:hint="eastAsia"/>
        </w:rPr>
        <w:fldChar w:fldCharType="end"/>
      </w:r>
    </w:p>
    <w:p>
      <w:pPr>
        <w:pStyle w:val="29"/>
        <w:bidi w:val="0"/>
        <w:rPr>
          <w:rFonts w:hint="eastAsia"/>
        </w:rPr>
      </w:pPr>
      <w:r>
        <w:rPr>
          <w:rFonts w:hint="eastAsia"/>
        </w:rPr>
        <w:fldChar w:fldCharType="begin"/>
      </w:r>
      <w:r>
        <w:rPr>
          <w:rFonts w:hint="eastAsia"/>
        </w:rPr>
        <w:instrText xml:space="preserve"> HYPERLINK \l _Toc6957 </w:instrText>
      </w:r>
      <w:r>
        <w:rPr>
          <w:rFonts w:hint="eastAsia"/>
        </w:rPr>
        <w:fldChar w:fldCharType="separate"/>
      </w:r>
      <w:r>
        <w:rPr>
          <w:rFonts w:hint="eastAsia"/>
        </w:rPr>
        <w:t>附录B（资料性）地下方案设计图</w:t>
      </w:r>
      <w:r>
        <w:rPr>
          <w:rFonts w:hint="eastAsia"/>
        </w:rPr>
        <w:tab/>
      </w:r>
      <w:r>
        <w:rPr>
          <w:rFonts w:hint="eastAsia"/>
        </w:rPr>
        <w:fldChar w:fldCharType="begin"/>
      </w:r>
      <w:r>
        <w:rPr>
          <w:rFonts w:hint="eastAsia"/>
        </w:rPr>
        <w:instrText xml:space="preserve"> PAGEREF _Toc6957 \h </w:instrText>
      </w:r>
      <w:r>
        <w:rPr>
          <w:rFonts w:hint="eastAsia"/>
        </w:rPr>
        <w:fldChar w:fldCharType="separate"/>
      </w:r>
      <w:r>
        <w:rPr>
          <w:rFonts w:hint="eastAsia"/>
        </w:rPr>
        <w:t>15</w:t>
      </w:r>
      <w:r>
        <w:rPr>
          <w:rFonts w:hint="eastAsia"/>
        </w:rPr>
        <w:fldChar w:fldCharType="end"/>
      </w:r>
      <w:r>
        <w:rPr>
          <w:rFonts w:hint="eastAsia"/>
        </w:rPr>
        <w:fldChar w:fldCharType="end"/>
      </w:r>
    </w:p>
    <w:p>
      <w:pPr>
        <w:pStyle w:val="29"/>
        <w:bidi w:val="0"/>
        <w:rPr>
          <w:rFonts w:hint="eastAsia"/>
        </w:rPr>
      </w:pPr>
      <w:r>
        <w:rPr>
          <w:rFonts w:hint="eastAsia"/>
        </w:rPr>
        <w:fldChar w:fldCharType="end"/>
      </w:r>
      <w:r>
        <w:rPr>
          <w:rFonts w:hint="eastAsia"/>
        </w:rPr>
        <w:fldChar w:fldCharType="begin"/>
      </w:r>
      <w:r>
        <w:rPr>
          <w:rFonts w:hint="eastAsia"/>
        </w:rPr>
        <w:instrText xml:space="preserve"> HYPERLINK \l _Toc6957 </w:instrText>
      </w:r>
      <w:r>
        <w:rPr>
          <w:rFonts w:hint="eastAsia"/>
        </w:rPr>
        <w:fldChar w:fldCharType="separate"/>
      </w:r>
      <w:r>
        <w:rPr>
          <w:rFonts w:hint="eastAsia"/>
        </w:rPr>
        <w:t>附录</w:t>
      </w:r>
      <w:r>
        <w:rPr>
          <w:rFonts w:hint="eastAsia"/>
          <w:lang w:val="en-US" w:eastAsia="zh-CN"/>
        </w:rPr>
        <w:t>C</w:t>
      </w:r>
      <w:r>
        <w:rPr>
          <w:rFonts w:hint="eastAsia"/>
        </w:rPr>
        <w:t>（资料性）</w:t>
      </w:r>
      <w:r>
        <w:rPr>
          <w:rFonts w:hint="eastAsia"/>
          <w:lang w:val="en-US" w:eastAsia="zh-CN"/>
        </w:rPr>
        <w:t>配电变压器可开放容量计算</w:t>
      </w:r>
    </w:p>
    <w:p>
      <w:pPr>
        <w:pStyle w:val="29"/>
        <w:bidi w:val="0"/>
      </w:pPr>
      <w:r>
        <w:rPr>
          <w:rFonts w:hint="eastAsia"/>
        </w:rPr>
        <w:fldChar w:fldCharType="end"/>
      </w:r>
      <w:r>
        <w:rPr>
          <w:rFonts w:hint="eastAsia"/>
        </w:rPr>
        <w:t>附录</w:t>
      </w:r>
      <w:r>
        <w:rPr>
          <w:rFonts w:hint="eastAsia"/>
          <w:lang w:val="en-US" w:eastAsia="zh-CN"/>
        </w:rPr>
        <w:t>D</w:t>
      </w:r>
      <w:r>
        <w:rPr>
          <w:rFonts w:hint="eastAsia"/>
        </w:rPr>
        <w:t>（资料性）</w:t>
      </w:r>
      <w:r>
        <w:rPr>
          <w:rFonts w:hint="eastAsia"/>
          <w:lang w:val="en-US" w:eastAsia="zh-CN"/>
        </w:rPr>
        <w:t>不同比例充电桩接入系统图</w:t>
      </w:r>
    </w:p>
    <w:p>
      <w:pPr>
        <w:pStyle w:val="33"/>
        <w:spacing w:line="360" w:lineRule="auto"/>
        <w:ind w:left="0" w:leftChars="0" w:firstLine="0" w:firstLineChars="0"/>
        <w:rPr>
          <w:rFonts w:hAnsi="宋体" w:cs="宋体"/>
        </w:rPr>
      </w:pPr>
    </w:p>
    <w:p>
      <w:pPr>
        <w:pStyle w:val="115"/>
      </w:pPr>
      <w:bookmarkStart w:id="6" w:name="_Toc3635"/>
      <w:bookmarkStart w:id="7" w:name="_Toc14667"/>
      <w:bookmarkStart w:id="8" w:name="_Toc19823"/>
      <w:bookmarkStart w:id="9" w:name="_Toc88222676"/>
      <w:r>
        <w:rPr>
          <w:rFonts w:hint="eastAsia"/>
        </w:rPr>
        <w:t>前</w:t>
      </w:r>
      <w:bookmarkStart w:id="10" w:name="BKQY"/>
      <w:r>
        <w:rPr>
          <w:rFonts w:hAnsi="黑体"/>
        </w:rPr>
        <w:t>  </w:t>
      </w:r>
      <w:r>
        <w:rPr>
          <w:rFonts w:hint="eastAsia"/>
        </w:rPr>
        <w:t>言</w:t>
      </w:r>
      <w:bookmarkEnd w:id="6"/>
      <w:bookmarkEnd w:id="7"/>
      <w:bookmarkEnd w:id="8"/>
      <w:bookmarkEnd w:id="9"/>
      <w:bookmarkEnd w:id="10"/>
    </w:p>
    <w:p>
      <w:pPr>
        <w:pStyle w:val="33"/>
        <w:ind w:left="105" w:leftChars="50" w:firstLine="315" w:firstLineChars="150"/>
        <w:rPr>
          <w:rFonts w:hAnsi="宋体"/>
        </w:rPr>
      </w:pPr>
      <w:r>
        <w:rPr>
          <w:rFonts w:hint="eastAsia" w:hAnsi="宋体"/>
        </w:rPr>
        <w:t>本文件按照GB/T 1.1—2020《标准化工作导则  第1部分：标准化文件的结构和起草规则》的规定起草。</w:t>
      </w:r>
    </w:p>
    <w:p>
      <w:pPr>
        <w:pStyle w:val="33"/>
        <w:rPr>
          <w:rFonts w:hint="eastAsia" w:hAnsi="宋体"/>
        </w:rPr>
      </w:pPr>
      <w:r>
        <w:rPr>
          <w:rFonts w:hint="eastAsia" w:hAnsi="宋体"/>
        </w:rPr>
        <w:t>请注意本文件的某些内容可能涉及专利。本文件的发布机构不承担识别专利的责任。</w:t>
      </w:r>
    </w:p>
    <w:p>
      <w:pPr>
        <w:pStyle w:val="33"/>
        <w:rPr>
          <w:rFonts w:hint="eastAsia" w:hAnsi="宋体"/>
        </w:rPr>
      </w:pPr>
      <w:r>
        <w:rPr>
          <w:rFonts w:hint="eastAsia" w:hAnsi="宋体"/>
        </w:rPr>
        <w:t>本文件由国网湖北省电力有限公司经济技术研究院提出。</w:t>
      </w:r>
    </w:p>
    <w:p>
      <w:pPr>
        <w:pStyle w:val="33"/>
        <w:rPr>
          <w:rFonts w:hint="eastAsia" w:hAnsi="宋体"/>
        </w:rPr>
      </w:pPr>
      <w:r>
        <w:rPr>
          <w:rFonts w:hint="eastAsia" w:hAnsi="宋体"/>
        </w:rPr>
        <w:t>本文件由湖北省能源标准化技术委员会归口。</w:t>
      </w:r>
    </w:p>
    <w:p>
      <w:pPr>
        <w:pStyle w:val="33"/>
        <w:rPr>
          <w:rFonts w:hint="eastAsia" w:hAnsi="宋体"/>
        </w:rPr>
      </w:pPr>
      <w:r>
        <w:rPr>
          <w:rFonts w:hint="eastAsia" w:hAnsi="宋体"/>
        </w:rPr>
        <w:t>本文件起草单位：***等。</w:t>
      </w:r>
    </w:p>
    <w:p>
      <w:pPr>
        <w:pStyle w:val="33"/>
        <w:rPr>
          <w:rFonts w:hint="eastAsia" w:hAnsi="宋体"/>
        </w:rPr>
      </w:pPr>
      <w:r>
        <w:rPr>
          <w:rFonts w:hint="eastAsia" w:hAnsi="宋体"/>
        </w:rPr>
        <w:t>本文件主要起草人：***等。</w:t>
      </w:r>
    </w:p>
    <w:p>
      <w:pPr>
        <w:pStyle w:val="33"/>
        <w:rPr>
          <w:rFonts w:hAnsi="宋体"/>
        </w:rPr>
      </w:pPr>
      <w:r>
        <w:rPr>
          <w:rFonts w:hint="eastAsia" w:hAnsi="宋体"/>
        </w:rPr>
        <w:t>本文件为首次发布。</w:t>
      </w:r>
    </w:p>
    <w:p>
      <w:pPr>
        <w:pStyle w:val="33"/>
        <w:rPr>
          <w:rFonts w:hAnsi="宋体"/>
        </w:rPr>
        <w:sectPr>
          <w:headerReference r:id="rId4" w:type="default"/>
          <w:footerReference r:id="rId5" w:type="default"/>
          <w:footerReference r:id="rId6" w:type="even"/>
          <w:pgSz w:w="11906" w:h="16838"/>
          <w:pgMar w:top="567" w:right="1134" w:bottom="1134" w:left="1134" w:header="1418" w:footer="1134" w:gutter="284"/>
          <w:pgNumType w:fmt="upperRoman" w:start="1"/>
          <w:cols w:space="720" w:num="1"/>
          <w:formProt w:val="0"/>
          <w:docGrid w:type="lines" w:linePitch="312" w:charSpace="0"/>
        </w:sectPr>
      </w:pPr>
      <w:r>
        <w:rPr>
          <w:rFonts w:hint="eastAsia"/>
        </w:rPr>
        <w:t>本文件实施应用中的疑问，可咨询湖北省能源标准化技术委员会，</w:t>
      </w:r>
      <w:r>
        <w:rPr>
          <w:rFonts w:hint="eastAsia" w:hAnsi="宋体"/>
          <w:highlight w:val="none"/>
        </w:rPr>
        <w:t>联系电话：027-59370533，邮箱：hbnymsc@163.com；或者牵头起草单位</w:t>
      </w:r>
      <w:r>
        <w:rPr>
          <w:rFonts w:hint="eastAsia" w:hAnsi="Times New Roman" w:cs="Times New Roman"/>
          <w:highlight w:val="none"/>
        </w:rPr>
        <w:t>国网湖北省电力有限公司经济技术研究院，</w:t>
      </w:r>
      <w:r>
        <w:rPr>
          <w:rFonts w:hint="eastAsia" w:ascii="宋体" w:hAnsi="Times New Roman"/>
          <w:kern w:val="0"/>
          <w:szCs w:val="20"/>
          <w:highlight w:val="none"/>
        </w:rPr>
        <w:t>联系电话：</w:t>
      </w:r>
      <w:r>
        <w:rPr>
          <w:rFonts w:hint="eastAsia" w:ascii="宋体" w:hAnsi="Times New Roman" w:cs="Times New Roman"/>
          <w:kern w:val="0"/>
          <w:szCs w:val="20"/>
          <w:highlight w:val="none"/>
          <w:lang w:val="en-US" w:eastAsia="zh-CN"/>
        </w:rPr>
        <w:t>027-83685345</w:t>
      </w:r>
      <w:r>
        <w:rPr>
          <w:rFonts w:hint="eastAsia" w:ascii="宋体" w:hAnsi="Times New Roman" w:cs="Times New Roman"/>
          <w:kern w:val="0"/>
          <w:szCs w:val="20"/>
          <w:highlight w:val="none"/>
        </w:rPr>
        <w:t>，</w:t>
      </w:r>
      <w:r>
        <w:rPr>
          <w:rFonts w:hint="eastAsia" w:ascii="宋体" w:hAnsi="Times New Roman"/>
          <w:color w:val="C00000"/>
          <w:kern w:val="0"/>
          <w:szCs w:val="20"/>
          <w:highlight w:val="none"/>
        </w:rPr>
        <w:t>邮箱：****@****.com。</w:t>
      </w:r>
      <w:r>
        <w:rPr>
          <w:rFonts w:hint="eastAsia" w:hAnsi="宋体"/>
          <w:highlight w:val="none"/>
        </w:rPr>
        <w:t>对本文件的有关修改意见建议请反馈至湖北省能源标准化技术委员会，联系电话：027-59370533，邮箱：hbnymsc@163.com；或者湖北省市场监督管理局，联系电话：027-87811019，邮箱：hbbzhc@163.com</w:t>
      </w:r>
      <w:r>
        <w:rPr>
          <w:rFonts w:hint="eastAsia" w:hAnsi="宋体"/>
        </w:rPr>
        <w:t>。</w:t>
      </w:r>
    </w:p>
    <w:p>
      <w:pPr>
        <w:pStyle w:val="18"/>
        <w:jc w:val="center"/>
        <w:rPr>
          <w:rFonts w:ascii="黑体" w:hAnsi="黑体" w:eastAsia="黑体" w:cs="黑体"/>
          <w:sz w:val="32"/>
          <w:szCs w:val="32"/>
        </w:rPr>
      </w:pPr>
      <w:r>
        <w:rPr>
          <w:rFonts w:hint="eastAsia" w:ascii="黑体" w:hAnsi="黑体" w:eastAsia="黑体" w:cs="黑体"/>
          <w:sz w:val="32"/>
          <w:szCs w:val="32"/>
        </w:rPr>
        <w:t>居住区电动汽车充电设施</w:t>
      </w:r>
      <w:r>
        <w:rPr>
          <w:rFonts w:hint="eastAsia" w:ascii="黑体" w:hAnsi="黑体" w:eastAsia="黑体" w:cs="黑体"/>
          <w:sz w:val="32"/>
          <w:szCs w:val="32"/>
          <w:highlight w:val="none"/>
        </w:rPr>
        <w:t>配电网络</w:t>
      </w:r>
      <w:r>
        <w:rPr>
          <w:rFonts w:hint="eastAsia" w:ascii="黑体" w:hAnsi="黑体" w:eastAsia="黑体" w:cs="黑体"/>
          <w:sz w:val="32"/>
          <w:szCs w:val="32"/>
        </w:rPr>
        <w:t>设计规范</w:t>
      </w:r>
    </w:p>
    <w:p>
      <w:pPr>
        <w:pStyle w:val="127"/>
        <w:spacing w:before="312" w:after="312"/>
        <w:rPr>
          <w:szCs w:val="21"/>
        </w:rPr>
      </w:pPr>
      <w:bookmarkStart w:id="11" w:name="_Toc88222677"/>
      <w:bookmarkStart w:id="12" w:name="_Toc26080"/>
      <w:bookmarkStart w:id="13" w:name="_Toc20195"/>
      <w:bookmarkStart w:id="14" w:name="_Toc41900512"/>
      <w:bookmarkStart w:id="15" w:name="_Toc6839"/>
      <w:r>
        <w:rPr>
          <w:rFonts w:hint="eastAsia"/>
          <w:szCs w:val="21"/>
        </w:rPr>
        <w:t>1 范围</w:t>
      </w:r>
      <w:bookmarkEnd w:id="11"/>
      <w:bookmarkEnd w:id="12"/>
      <w:bookmarkEnd w:id="13"/>
      <w:bookmarkEnd w:id="14"/>
      <w:bookmarkEnd w:id="15"/>
    </w:p>
    <w:p>
      <w:pPr>
        <w:autoSpaceDE w:val="0"/>
        <w:autoSpaceDN w:val="0"/>
        <w:adjustRightInd w:val="0"/>
        <w:ind w:firstLine="420" w:firstLineChars="200"/>
        <w:jc w:val="left"/>
        <w:rPr>
          <w:rFonts w:hint="default" w:ascii="宋体" w:eastAsia="宋体" w:cs="宋体"/>
          <w:kern w:val="0"/>
          <w:szCs w:val="21"/>
          <w:highlight w:val="none"/>
          <w:lang w:val="en-US" w:eastAsia="zh-CN"/>
        </w:rPr>
      </w:pPr>
      <w:r>
        <w:rPr>
          <w:rFonts w:hint="eastAsia" w:ascii="宋体" w:cs="宋体"/>
          <w:kern w:val="0"/>
          <w:szCs w:val="21"/>
        </w:rPr>
        <w:t>本文件</w:t>
      </w:r>
      <w:r>
        <w:rPr>
          <w:rFonts w:hint="eastAsia" w:ascii="宋体" w:cs="宋体"/>
          <w:kern w:val="0"/>
          <w:szCs w:val="21"/>
          <w:lang w:eastAsia="zh-CN"/>
        </w:rPr>
        <w:t>规定了</w:t>
      </w:r>
      <w:r>
        <w:rPr>
          <w:rFonts w:hint="eastAsia" w:ascii="宋体" w:cs="宋体"/>
          <w:kern w:val="0"/>
          <w:szCs w:val="21"/>
        </w:rPr>
        <w:t>居住区</w:t>
      </w:r>
      <w:r>
        <w:rPr>
          <w:rFonts w:hint="eastAsia" w:ascii="宋体" w:cs="宋体"/>
          <w:kern w:val="0"/>
          <w:szCs w:val="21"/>
          <w:lang w:eastAsia="zh-CN"/>
        </w:rPr>
        <w:t>电动汽车</w:t>
      </w:r>
      <w:r>
        <w:rPr>
          <w:rFonts w:hint="eastAsia" w:ascii="宋体" w:cs="宋体"/>
          <w:kern w:val="0"/>
          <w:szCs w:val="21"/>
        </w:rPr>
        <w:t>充电设施</w:t>
      </w:r>
      <w:r>
        <w:rPr>
          <w:rFonts w:hint="eastAsia" w:ascii="宋体" w:cs="宋体"/>
          <w:kern w:val="0"/>
          <w:szCs w:val="21"/>
          <w:highlight w:val="none"/>
        </w:rPr>
        <w:t>配电网络</w:t>
      </w:r>
      <w:r>
        <w:rPr>
          <w:rFonts w:hint="eastAsia" w:ascii="宋体" w:cs="宋体"/>
          <w:kern w:val="0"/>
          <w:szCs w:val="21"/>
          <w:highlight w:val="none"/>
          <w:lang w:eastAsia="zh-CN"/>
        </w:rPr>
        <w:t>的</w:t>
      </w:r>
      <w:r>
        <w:rPr>
          <w:rFonts w:hint="eastAsia" w:ascii="宋体" w:cs="宋体"/>
          <w:kern w:val="0"/>
          <w:szCs w:val="21"/>
          <w:highlight w:val="none"/>
          <w:lang w:val="en-US" w:eastAsia="zh-CN"/>
        </w:rPr>
        <w:t>设计原则、主要设计内容、设计方案。</w:t>
      </w:r>
    </w:p>
    <w:p>
      <w:pPr>
        <w:autoSpaceDE w:val="0"/>
        <w:autoSpaceDN w:val="0"/>
        <w:adjustRightInd w:val="0"/>
        <w:ind w:firstLine="420" w:firstLineChars="200"/>
        <w:jc w:val="left"/>
        <w:rPr>
          <w:rFonts w:ascii="宋体" w:cs="宋体"/>
          <w:kern w:val="0"/>
          <w:szCs w:val="21"/>
        </w:rPr>
      </w:pPr>
      <w:r>
        <w:rPr>
          <w:rFonts w:hint="eastAsia" w:ascii="宋体" w:cs="宋体"/>
          <w:kern w:val="0"/>
          <w:szCs w:val="21"/>
        </w:rPr>
        <w:t>本文件适用于</w:t>
      </w:r>
      <w:r>
        <w:rPr>
          <w:rFonts w:hint="eastAsia" w:ascii="宋体" w:cs="宋体"/>
          <w:kern w:val="0"/>
          <w:szCs w:val="21"/>
          <w:highlight w:val="none"/>
        </w:rPr>
        <w:t>新建居住区电动汽车充电</w:t>
      </w:r>
      <w:r>
        <w:rPr>
          <w:rFonts w:hint="eastAsia" w:ascii="宋体" w:cs="宋体"/>
          <w:kern w:val="0"/>
          <w:szCs w:val="21"/>
          <w:highlight w:val="none"/>
          <w:lang w:eastAsia="zh-CN"/>
        </w:rPr>
        <w:t>配套</w:t>
      </w:r>
      <w:r>
        <w:rPr>
          <w:rFonts w:hint="eastAsia" w:ascii="宋体" w:cs="宋体"/>
          <w:kern w:val="0"/>
          <w:szCs w:val="21"/>
          <w:highlight w:val="none"/>
        </w:rPr>
        <w:t>设施建设工程及既有居住区充电桩配电网络建设，主要包括低压出线回路至电能计量箱部分的供电网络设计。</w:t>
      </w:r>
    </w:p>
    <w:p>
      <w:pPr>
        <w:pStyle w:val="127"/>
        <w:spacing w:before="312" w:after="312"/>
        <w:rPr>
          <w:szCs w:val="21"/>
        </w:rPr>
      </w:pPr>
      <w:bookmarkStart w:id="16" w:name="_Toc26648466"/>
      <w:bookmarkStart w:id="17" w:name="_Toc24884212"/>
      <w:bookmarkStart w:id="18" w:name="_Toc26986531"/>
      <w:bookmarkStart w:id="19" w:name="_Toc17233326"/>
      <w:bookmarkStart w:id="20" w:name="_Toc108"/>
      <w:bookmarkStart w:id="21" w:name="_Toc22858"/>
      <w:bookmarkStart w:id="22" w:name="_Toc54862187"/>
      <w:bookmarkStart w:id="23" w:name="_Toc82774842"/>
      <w:bookmarkStart w:id="24" w:name="_Toc26986772"/>
      <w:bookmarkStart w:id="25" w:name="_Toc24884219"/>
      <w:bookmarkStart w:id="26" w:name="_Toc26718931"/>
      <w:bookmarkStart w:id="27" w:name="_Toc3532"/>
      <w:bookmarkStart w:id="28" w:name="_Toc17233334"/>
      <w:bookmarkStart w:id="29" w:name="_Toc9303"/>
      <w:bookmarkStart w:id="30" w:name="_Toc54876513"/>
      <w:bookmarkStart w:id="31" w:name="_Toc54860123"/>
      <w:r>
        <w:rPr>
          <w:rFonts w:hint="eastAsia"/>
          <w:szCs w:val="21"/>
        </w:rPr>
        <w:t>2 规范性引用文件</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73"/>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33"/>
        <w:rPr>
          <w:rFonts w:hAnsi="宋体"/>
          <w:highlight w:val="none"/>
        </w:rPr>
      </w:pPr>
      <w:r>
        <w:rPr>
          <w:rFonts w:hAnsi="宋体"/>
          <w:highlight w:val="none"/>
        </w:rPr>
        <w:t>GB</w:t>
      </w:r>
      <w:r>
        <w:rPr>
          <w:rFonts w:hint="eastAsia" w:hAnsi="Times New Roman" w:eastAsia="宋体" w:cs="Times New Roman"/>
          <w:color w:val="000000"/>
          <w:highlight w:val="none"/>
        </w:rPr>
        <w:t>/T</w:t>
      </w:r>
      <w:r>
        <w:rPr>
          <w:rFonts w:hAnsi="宋体"/>
          <w:highlight w:val="none"/>
        </w:rPr>
        <w:t xml:space="preserve"> 12325 </w:t>
      </w:r>
      <w:r>
        <w:rPr>
          <w:rFonts w:hint="eastAsia" w:hAnsi="宋体"/>
          <w:highlight w:val="none"/>
        </w:rPr>
        <w:t xml:space="preserve"> 电能质量供电电压偏差</w:t>
      </w:r>
    </w:p>
    <w:p>
      <w:pPr>
        <w:pStyle w:val="33"/>
        <w:rPr>
          <w:rFonts w:hAnsi="宋体"/>
        </w:rPr>
      </w:pPr>
      <w:r>
        <w:rPr>
          <w:rFonts w:hAnsi="宋体"/>
          <w:highlight w:val="none"/>
        </w:rPr>
        <w:t>GB</w:t>
      </w:r>
      <w:r>
        <w:rPr>
          <w:rFonts w:hint="eastAsia" w:hAnsi="Times New Roman" w:eastAsia="宋体" w:cs="Times New Roman"/>
          <w:color w:val="000000"/>
          <w:highlight w:val="none"/>
        </w:rPr>
        <w:t>/T</w:t>
      </w:r>
      <w:r>
        <w:rPr>
          <w:rFonts w:hAnsi="宋体"/>
          <w:highlight w:val="none"/>
        </w:rPr>
        <w:t xml:space="preserve"> 12326</w:t>
      </w:r>
      <w:r>
        <w:rPr>
          <w:rFonts w:hAnsi="宋体"/>
        </w:rPr>
        <w:t xml:space="preserve"> </w:t>
      </w:r>
      <w:r>
        <w:rPr>
          <w:rFonts w:hint="eastAsia" w:hAnsi="宋体"/>
        </w:rPr>
        <w:t xml:space="preserve"> 电能质量电压波动和闪避</w:t>
      </w:r>
    </w:p>
    <w:p>
      <w:pPr>
        <w:pStyle w:val="73"/>
        <w:ind w:firstLine="420"/>
        <w:rPr>
          <w:rFonts w:hint="eastAsia" w:hAnsi="Times New Roman" w:eastAsia="宋体" w:cs="Times New Roman"/>
          <w:color w:val="000000"/>
          <w:lang w:val="en-US" w:eastAsia="zh-CN"/>
        </w:rPr>
      </w:pPr>
      <w:r>
        <w:rPr>
          <w:rFonts w:hint="eastAsia" w:hAnsi="Times New Roman" w:eastAsia="宋体" w:cs="Times New Roman"/>
          <w:color w:val="000000"/>
        </w:rPr>
        <w:t>GB/T 29317</w:t>
      </w:r>
      <w:r>
        <w:rPr>
          <w:rFonts w:hint="eastAsia" w:hAnsi="Times New Roman" w:eastAsia="宋体" w:cs="Times New Roman"/>
          <w:color w:val="000000"/>
          <w:lang w:val="en-US" w:eastAsia="zh-CN"/>
        </w:rPr>
        <w:t xml:space="preserve"> </w:t>
      </w:r>
      <w:r>
        <w:rPr>
          <w:rFonts w:hint="eastAsia" w:hAnsi="Times New Roman" w:cs="Times New Roman"/>
          <w:color w:val="000000"/>
          <w:lang w:val="en-US" w:eastAsia="zh-CN"/>
        </w:rPr>
        <w:t xml:space="preserve"> </w:t>
      </w:r>
      <w:r>
        <w:rPr>
          <w:rFonts w:hint="eastAsia" w:hAnsi="Times New Roman" w:eastAsia="宋体" w:cs="Times New Roman"/>
          <w:color w:val="000000"/>
        </w:rPr>
        <w:t>电动汽车充换电设施术语</w:t>
      </w:r>
    </w:p>
    <w:p>
      <w:pPr>
        <w:pStyle w:val="33"/>
        <w:rPr>
          <w:rFonts w:hAnsi="宋体"/>
        </w:rPr>
      </w:pPr>
      <w:r>
        <w:rPr>
          <w:rFonts w:hAnsi="宋体"/>
        </w:rPr>
        <w:t xml:space="preserve">GB 50016 </w:t>
      </w:r>
      <w:r>
        <w:rPr>
          <w:rFonts w:hint="eastAsia" w:hAnsi="宋体"/>
        </w:rPr>
        <w:t xml:space="preserve"> 建筑设计防火规范</w:t>
      </w:r>
    </w:p>
    <w:p>
      <w:pPr>
        <w:pStyle w:val="33"/>
        <w:rPr>
          <w:rFonts w:hAnsi="宋体"/>
        </w:rPr>
      </w:pPr>
      <w:r>
        <w:rPr>
          <w:rFonts w:hAnsi="宋体"/>
        </w:rPr>
        <w:t xml:space="preserve">GB 50053 </w:t>
      </w:r>
      <w:r>
        <w:rPr>
          <w:rFonts w:hint="eastAsia" w:hAnsi="宋体"/>
        </w:rPr>
        <w:t xml:space="preserve"> </w:t>
      </w:r>
      <w:r>
        <w:rPr>
          <w:rFonts w:hAnsi="宋体"/>
        </w:rPr>
        <w:t>20kV</w:t>
      </w:r>
      <w:r>
        <w:rPr>
          <w:rFonts w:hint="eastAsia" w:hAnsi="宋体"/>
        </w:rPr>
        <w:t>及以下变电所设计规范</w:t>
      </w:r>
    </w:p>
    <w:p>
      <w:pPr>
        <w:pStyle w:val="33"/>
        <w:rPr>
          <w:rFonts w:hAnsi="宋体"/>
        </w:rPr>
      </w:pPr>
      <w:r>
        <w:rPr>
          <w:rFonts w:hAnsi="宋体"/>
        </w:rPr>
        <w:t xml:space="preserve">GB 50054 </w:t>
      </w:r>
      <w:r>
        <w:rPr>
          <w:rFonts w:hint="eastAsia" w:hAnsi="宋体"/>
        </w:rPr>
        <w:t xml:space="preserve"> 低压配电设计规范</w:t>
      </w:r>
    </w:p>
    <w:p>
      <w:pPr>
        <w:pStyle w:val="33"/>
        <w:rPr>
          <w:rFonts w:hint="eastAsia" w:hAnsi="宋体"/>
        </w:rPr>
      </w:pPr>
      <w:r>
        <w:rPr>
          <w:rFonts w:hAnsi="宋体"/>
        </w:rPr>
        <w:t xml:space="preserve">GB 50055 </w:t>
      </w:r>
      <w:r>
        <w:rPr>
          <w:rFonts w:hint="eastAsia" w:hAnsi="宋体"/>
        </w:rPr>
        <w:t xml:space="preserve"> 通用用电设备配电设计规范</w:t>
      </w:r>
    </w:p>
    <w:p>
      <w:pPr>
        <w:pStyle w:val="33"/>
        <w:rPr>
          <w:rFonts w:hint="default" w:hAnsi="宋体" w:eastAsia="宋体"/>
          <w:highlight w:val="none"/>
          <w:lang w:val="en-US" w:eastAsia="zh-CN"/>
        </w:rPr>
      </w:pPr>
      <w:r>
        <w:rPr>
          <w:rFonts w:ascii="宋体" w:cs="宋体"/>
          <w:kern w:val="0"/>
          <w:szCs w:val="21"/>
          <w:highlight w:val="none"/>
        </w:rPr>
        <w:t>GB 50057</w:t>
      </w:r>
      <w:r>
        <w:rPr>
          <w:rFonts w:hint="eastAsia" w:cs="宋体"/>
          <w:kern w:val="0"/>
          <w:szCs w:val="21"/>
          <w:highlight w:val="none"/>
          <w:lang w:val="en-US" w:eastAsia="zh-CN"/>
        </w:rPr>
        <w:t xml:space="preserve">  建筑物防雷设计规范</w:t>
      </w:r>
    </w:p>
    <w:p>
      <w:pPr>
        <w:pStyle w:val="33"/>
        <w:rPr>
          <w:rFonts w:hint="eastAsia" w:cs="宋体"/>
          <w:kern w:val="0"/>
          <w:szCs w:val="21"/>
          <w:highlight w:val="none"/>
          <w:lang w:val="en-US" w:eastAsia="zh-CN"/>
        </w:rPr>
      </w:pPr>
      <w:r>
        <w:rPr>
          <w:rFonts w:ascii="宋体" w:cs="宋体"/>
          <w:kern w:val="0"/>
          <w:szCs w:val="21"/>
          <w:highlight w:val="none"/>
        </w:rPr>
        <w:t>GB/T 50064</w:t>
      </w:r>
      <w:r>
        <w:rPr>
          <w:rFonts w:hint="eastAsia" w:cs="宋体"/>
          <w:kern w:val="0"/>
          <w:szCs w:val="21"/>
          <w:highlight w:val="none"/>
          <w:lang w:val="en-US" w:eastAsia="zh-CN"/>
        </w:rPr>
        <w:t xml:space="preserve">  交流电气装置的过电压保护和绝缘配合设计规范</w:t>
      </w:r>
    </w:p>
    <w:p>
      <w:pPr>
        <w:pStyle w:val="33"/>
        <w:rPr>
          <w:rFonts w:hint="eastAsia" w:cs="宋体"/>
          <w:kern w:val="0"/>
          <w:szCs w:val="21"/>
          <w:highlight w:val="none"/>
          <w:lang w:val="en-US" w:eastAsia="zh-CN"/>
        </w:rPr>
      </w:pPr>
      <w:r>
        <w:rPr>
          <w:rFonts w:ascii="宋体" w:cs="宋体"/>
          <w:kern w:val="0"/>
          <w:szCs w:val="21"/>
          <w:highlight w:val="none"/>
        </w:rPr>
        <w:t>GB/T 5006</w:t>
      </w:r>
      <w:r>
        <w:rPr>
          <w:rFonts w:hint="eastAsia" w:cs="宋体"/>
          <w:kern w:val="0"/>
          <w:szCs w:val="21"/>
          <w:highlight w:val="none"/>
          <w:lang w:val="en-US" w:eastAsia="zh-CN"/>
        </w:rPr>
        <w:t>5  交流电气装置的接地设计规范</w:t>
      </w:r>
    </w:p>
    <w:p>
      <w:pPr>
        <w:pStyle w:val="33"/>
        <w:rPr>
          <w:rFonts w:hAnsi="宋体"/>
          <w:highlight w:val="none"/>
        </w:rPr>
      </w:pPr>
      <w:r>
        <w:rPr>
          <w:rFonts w:hAnsi="宋体"/>
          <w:highlight w:val="none"/>
        </w:rPr>
        <w:t xml:space="preserve">GB 50067 </w:t>
      </w:r>
      <w:r>
        <w:rPr>
          <w:rFonts w:hint="eastAsia" w:hAnsi="宋体"/>
          <w:highlight w:val="none"/>
        </w:rPr>
        <w:t xml:space="preserve"> 汽车库、修车库、停车库设计防范规范</w:t>
      </w:r>
    </w:p>
    <w:p>
      <w:pPr>
        <w:pStyle w:val="33"/>
        <w:rPr>
          <w:rFonts w:hAnsi="宋体"/>
          <w:highlight w:val="none"/>
        </w:rPr>
      </w:pPr>
      <w:r>
        <w:rPr>
          <w:rFonts w:hAnsi="宋体"/>
          <w:highlight w:val="none"/>
        </w:rPr>
        <w:t xml:space="preserve">GB 50149 </w:t>
      </w:r>
      <w:r>
        <w:rPr>
          <w:rFonts w:hint="eastAsia" w:hAnsi="宋体"/>
          <w:highlight w:val="none"/>
        </w:rPr>
        <w:t xml:space="preserve"> 电气装置安装母线装置施工及验收规范</w:t>
      </w:r>
    </w:p>
    <w:p>
      <w:pPr>
        <w:pStyle w:val="33"/>
        <w:rPr>
          <w:rFonts w:hAnsi="宋体"/>
          <w:highlight w:val="none"/>
        </w:rPr>
      </w:pPr>
      <w:r>
        <w:rPr>
          <w:rFonts w:hAnsi="宋体"/>
          <w:highlight w:val="none"/>
        </w:rPr>
        <w:t xml:space="preserve">GB 50168 </w:t>
      </w:r>
      <w:r>
        <w:rPr>
          <w:rFonts w:hint="eastAsia" w:hAnsi="宋体"/>
          <w:highlight w:val="none"/>
        </w:rPr>
        <w:t xml:space="preserve"> 电气装置安装工程电缆线路施工及验收规范</w:t>
      </w:r>
    </w:p>
    <w:p>
      <w:pPr>
        <w:pStyle w:val="33"/>
        <w:rPr>
          <w:rFonts w:hAnsi="宋体"/>
          <w:highlight w:val="none"/>
        </w:rPr>
      </w:pPr>
      <w:r>
        <w:rPr>
          <w:rFonts w:hAnsi="宋体"/>
          <w:highlight w:val="none"/>
        </w:rPr>
        <w:t xml:space="preserve">GB 50171 </w:t>
      </w:r>
      <w:r>
        <w:rPr>
          <w:rFonts w:hint="eastAsia" w:hAnsi="宋体"/>
          <w:highlight w:val="none"/>
        </w:rPr>
        <w:t xml:space="preserve"> 电气装置安装工程盘、柜及二次回路结线施工及验收规范</w:t>
      </w:r>
    </w:p>
    <w:p>
      <w:pPr>
        <w:pStyle w:val="33"/>
        <w:rPr>
          <w:rFonts w:hint="eastAsia" w:hAnsi="宋体"/>
          <w:highlight w:val="none"/>
        </w:rPr>
      </w:pPr>
      <w:r>
        <w:rPr>
          <w:rFonts w:hAnsi="宋体"/>
          <w:highlight w:val="none"/>
        </w:rPr>
        <w:t xml:space="preserve">GB 50217 </w:t>
      </w:r>
      <w:r>
        <w:rPr>
          <w:rFonts w:hint="eastAsia" w:hAnsi="宋体"/>
          <w:highlight w:val="none"/>
        </w:rPr>
        <w:t xml:space="preserve"> 电力工程电缆设计标准</w:t>
      </w:r>
    </w:p>
    <w:p>
      <w:pPr>
        <w:pStyle w:val="33"/>
        <w:rPr>
          <w:rFonts w:hAnsi="宋体"/>
          <w:highlight w:val="none"/>
        </w:rPr>
      </w:pPr>
      <w:r>
        <w:rPr>
          <w:rFonts w:hAnsi="宋体"/>
          <w:highlight w:val="none"/>
        </w:rPr>
        <w:t xml:space="preserve">GB 50255 </w:t>
      </w:r>
      <w:r>
        <w:rPr>
          <w:rFonts w:hint="eastAsia" w:hAnsi="宋体"/>
          <w:highlight w:val="none"/>
        </w:rPr>
        <w:t xml:space="preserve"> 电气装置安装工程电力变流设备施工及验收规范</w:t>
      </w:r>
    </w:p>
    <w:p>
      <w:pPr>
        <w:pStyle w:val="33"/>
        <w:rPr>
          <w:rFonts w:hAnsi="宋体"/>
          <w:highlight w:val="none"/>
        </w:rPr>
      </w:pPr>
      <w:r>
        <w:rPr>
          <w:rFonts w:hAnsi="宋体"/>
          <w:highlight w:val="none"/>
        </w:rPr>
        <w:t xml:space="preserve">GB 50575 </w:t>
      </w:r>
      <w:r>
        <w:rPr>
          <w:rFonts w:hint="eastAsia" w:hAnsi="宋体"/>
          <w:highlight w:val="none"/>
        </w:rPr>
        <w:t xml:space="preserve"> </w:t>
      </w:r>
      <w:r>
        <w:rPr>
          <w:rFonts w:hAnsi="宋体"/>
          <w:highlight w:val="none"/>
        </w:rPr>
        <w:t xml:space="preserve">1kV </w:t>
      </w:r>
      <w:r>
        <w:rPr>
          <w:rFonts w:hint="eastAsia" w:hAnsi="宋体"/>
          <w:highlight w:val="none"/>
        </w:rPr>
        <w:t>及以下配线工程施工与验收规范</w:t>
      </w:r>
    </w:p>
    <w:p>
      <w:pPr>
        <w:pStyle w:val="33"/>
        <w:rPr>
          <w:rFonts w:hint="eastAsia" w:ascii="宋体" w:cs="宋体"/>
          <w:kern w:val="0"/>
          <w:szCs w:val="21"/>
          <w:lang w:val="en-US" w:eastAsia="zh-CN"/>
        </w:rPr>
      </w:pPr>
      <w:r>
        <w:rPr>
          <w:rFonts w:ascii="宋体" w:cs="宋体"/>
          <w:kern w:val="0"/>
          <w:szCs w:val="21"/>
          <w:highlight w:val="none"/>
        </w:rPr>
        <w:t>GB/T 51313</w:t>
      </w:r>
      <w:r>
        <w:rPr>
          <w:rFonts w:hint="eastAsia" w:cs="宋体"/>
          <w:kern w:val="0"/>
          <w:szCs w:val="21"/>
          <w:highlight w:val="none"/>
          <w:lang w:val="en-US" w:eastAsia="zh-CN"/>
        </w:rPr>
        <w:t xml:space="preserve">  </w:t>
      </w:r>
      <w:r>
        <w:rPr>
          <w:rFonts w:hint="eastAsia" w:ascii="宋体" w:cs="宋体"/>
          <w:kern w:val="0"/>
          <w:szCs w:val="21"/>
          <w:highlight w:val="none"/>
          <w:lang w:val="en-US" w:eastAsia="zh-CN"/>
        </w:rPr>
        <w:t xml:space="preserve"> </w:t>
      </w:r>
      <w:r>
        <w:rPr>
          <w:rFonts w:hint="eastAsia" w:cs="宋体"/>
          <w:kern w:val="0"/>
          <w:szCs w:val="21"/>
          <w:highlight w:val="none"/>
          <w:lang w:val="en-US" w:eastAsia="zh-CN"/>
        </w:rPr>
        <w:t>电动汽车分</w:t>
      </w:r>
      <w:r>
        <w:rPr>
          <w:rFonts w:hint="eastAsia" w:cs="宋体"/>
          <w:kern w:val="0"/>
          <w:szCs w:val="21"/>
          <w:lang w:val="en-US" w:eastAsia="zh-CN"/>
        </w:rPr>
        <w:t>散充电设施工程技术标准</w:t>
      </w:r>
    </w:p>
    <w:p>
      <w:pPr>
        <w:pStyle w:val="33"/>
        <w:rPr>
          <w:rFonts w:hAnsi="宋体"/>
        </w:rPr>
      </w:pPr>
      <w:r>
        <w:rPr>
          <w:rFonts w:hAnsi="宋体"/>
        </w:rPr>
        <w:t xml:space="preserve">GB 51348 </w:t>
      </w:r>
      <w:r>
        <w:rPr>
          <w:rFonts w:hint="eastAsia" w:hAnsi="宋体"/>
        </w:rPr>
        <w:t xml:space="preserve"> 民用建筑电气设计标准</w:t>
      </w:r>
    </w:p>
    <w:p>
      <w:pPr>
        <w:pStyle w:val="127"/>
        <w:spacing w:before="312" w:after="312"/>
      </w:pPr>
      <w:bookmarkStart w:id="32" w:name="_Toc54862188"/>
      <w:bookmarkStart w:id="33" w:name="_Toc82774843"/>
      <w:bookmarkStart w:id="34" w:name="_Toc28021"/>
      <w:bookmarkStart w:id="35" w:name="_Toc54860124"/>
      <w:bookmarkStart w:id="36" w:name="_Toc29409"/>
      <w:bookmarkStart w:id="37" w:name="_Toc5035"/>
      <w:bookmarkStart w:id="38" w:name="_Toc54876514"/>
      <w:bookmarkStart w:id="39" w:name="_Toc26269"/>
      <w:r>
        <w:rPr>
          <w:rFonts w:hint="eastAsia"/>
          <w:szCs w:val="21"/>
        </w:rPr>
        <w:t>3 术语和定义</w:t>
      </w:r>
      <w:bookmarkEnd w:id="32"/>
      <w:bookmarkEnd w:id="33"/>
      <w:bookmarkEnd w:id="34"/>
      <w:bookmarkEnd w:id="35"/>
      <w:bookmarkEnd w:id="36"/>
      <w:bookmarkEnd w:id="37"/>
      <w:bookmarkEnd w:id="38"/>
      <w:bookmarkEnd w:id="39"/>
    </w:p>
    <w:p>
      <w:pPr>
        <w:pStyle w:val="33"/>
        <w:ind w:left="0" w:leftChars="0" w:firstLine="420" w:firstLineChars="200"/>
        <w:rPr>
          <w:rFonts w:hAnsi="宋体"/>
          <w:sz w:val="21"/>
          <w:szCs w:val="21"/>
        </w:rPr>
      </w:pPr>
      <w:bookmarkStart w:id="40" w:name="_Toc26986532"/>
      <w:bookmarkEnd w:id="40"/>
      <w:bookmarkStart w:id="41" w:name="_Toc9877"/>
      <w:bookmarkStart w:id="42" w:name="_Toc18600"/>
      <w:bookmarkStart w:id="43" w:name="_Toc11645"/>
      <w:bookmarkStart w:id="44" w:name="_Toc2202"/>
      <w:bookmarkStart w:id="45" w:name="_Toc19578"/>
      <w:bookmarkStart w:id="46" w:name="_Toc6969"/>
      <w:bookmarkStart w:id="47" w:name="_Toc6652"/>
      <w:bookmarkStart w:id="48" w:name="_Toc4735"/>
      <w:bookmarkStart w:id="49" w:name="_Toc16176"/>
      <w:r>
        <w:rPr>
          <w:rFonts w:hint="eastAsia" w:hAnsi="宋体"/>
          <w:sz w:val="21"/>
          <w:szCs w:val="21"/>
        </w:rPr>
        <w:t>下列</w:t>
      </w:r>
      <w:r>
        <w:rPr>
          <w:rFonts w:hAnsi="宋体"/>
          <w:sz w:val="21"/>
          <w:szCs w:val="21"/>
        </w:rPr>
        <w:t>术语和定义适用于本文件。</w:t>
      </w:r>
    </w:p>
    <w:p>
      <w:pPr>
        <w:pStyle w:val="33"/>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3.1</w:t>
      </w:r>
    </w:p>
    <w:p>
      <w:pPr>
        <w:pStyle w:val="33"/>
        <w:ind w:left="0" w:leftChars="0" w:firstLine="0" w:firstLineChars="0"/>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居住区</w:t>
      </w:r>
    </w:p>
    <w:p>
      <w:pPr>
        <w:pStyle w:val="33"/>
        <w:ind w:left="0" w:leftChars="0" w:firstLine="0" w:firstLineChars="0"/>
        <w:rPr>
          <w:rFonts w:hint="default"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w:t>
      </w:r>
      <w:r>
        <w:rPr>
          <w:rFonts w:hint="eastAsia" w:ascii="宋体" w:hAnsi="Times New Roman" w:eastAsia="宋体" w:cs="宋体"/>
          <w:kern w:val="0"/>
          <w:sz w:val="21"/>
          <w:szCs w:val="21"/>
          <w:lang w:val="en-US" w:eastAsia="zh-CN" w:bidi="ar-SA"/>
        </w:rPr>
        <w:t>被城市道路或自然分界线围合，并与居住人口规模相适应、配套又能符合该区居民物质与文化生活 所需的公共服务设施的居民生活聚居地。又称“</w:t>
      </w:r>
      <w:r>
        <w:rPr>
          <w:rFonts w:hint="eastAsia" w:cs="宋体"/>
          <w:kern w:val="0"/>
          <w:sz w:val="21"/>
          <w:szCs w:val="21"/>
          <w:lang w:val="en-US" w:eastAsia="zh-CN" w:bidi="ar-SA"/>
        </w:rPr>
        <w:t>住宅</w:t>
      </w:r>
      <w:r>
        <w:rPr>
          <w:rFonts w:hint="eastAsia" w:ascii="宋体" w:hAnsi="Times New Roman" w:eastAsia="宋体" w:cs="宋体"/>
          <w:kern w:val="0"/>
          <w:sz w:val="21"/>
          <w:szCs w:val="21"/>
          <w:lang w:val="en-US" w:eastAsia="zh-CN" w:bidi="ar-SA"/>
        </w:rPr>
        <w:t>区”。</w:t>
      </w:r>
      <w:r>
        <w:rPr>
          <w:rFonts w:hint="eastAsia" w:ascii="黑体" w:hAnsi="黑体" w:eastAsia="黑体" w:cs="Times New Roman"/>
          <w:sz w:val="21"/>
          <w:lang w:val="en-US" w:eastAsia="zh-CN" w:bidi="ar-SA"/>
        </w:rPr>
        <w:t xml:space="preserve"> </w:t>
      </w:r>
    </w:p>
    <w:p>
      <w:pPr>
        <w:pStyle w:val="33"/>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3.2</w:t>
      </w:r>
    </w:p>
    <w:p>
      <w:pPr>
        <w:pStyle w:val="33"/>
        <w:ind w:left="0" w:leftChars="0" w:firstLine="0" w:firstLineChars="0"/>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充电设施</w:t>
      </w:r>
    </w:p>
    <w:p>
      <w:pPr>
        <w:pStyle w:val="33"/>
        <w:ind w:left="0" w:leftChars="0" w:firstLine="0" w:firstLineChars="0"/>
        <w:rPr>
          <w:rFonts w:hint="eastAsia" w:ascii="宋体" w:hAnsi="Times New Roman" w:eastAsia="宋体" w:cs="宋体"/>
          <w:kern w:val="0"/>
          <w:sz w:val="21"/>
          <w:szCs w:val="21"/>
          <w:lang w:val="en-US" w:eastAsia="zh-CN" w:bidi="ar-SA"/>
        </w:rPr>
      </w:pPr>
      <w:r>
        <w:rPr>
          <w:rFonts w:hint="eastAsia" w:ascii="黑体" w:hAnsi="黑体" w:eastAsia="黑体" w:cs="Times New Roman"/>
          <w:sz w:val="21"/>
          <w:lang w:val="en-US" w:eastAsia="zh-CN" w:bidi="ar-SA"/>
        </w:rPr>
        <w:t xml:space="preserve">   </w:t>
      </w:r>
      <w:r>
        <w:rPr>
          <w:rFonts w:hint="eastAsia" w:ascii="宋体" w:hAnsi="Times New Roman" w:eastAsia="宋体" w:cs="宋体"/>
          <w:kern w:val="0"/>
          <w:sz w:val="21"/>
          <w:szCs w:val="21"/>
          <w:lang w:val="en-US" w:eastAsia="zh-CN" w:bidi="ar-SA"/>
        </w:rPr>
        <w:t xml:space="preserve">结合用户居住地停车位、单位停车场、公共建筑物停车场、社会公共停车场、路内临时停车位等配建,为电动汽车提供电能的设施，包括：充电设备、供电电源、配套设施等。 </w:t>
      </w:r>
    </w:p>
    <w:p>
      <w:pPr>
        <w:pStyle w:val="33"/>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default" w:ascii="黑体" w:hAnsi="黑体" w:eastAsia="黑体" w:cs="Times New Roman"/>
          <w:sz w:val="21"/>
          <w:lang w:val="en-US" w:eastAsia="zh-CN" w:bidi="ar-SA"/>
        </w:rPr>
      </w:pPr>
      <w:r>
        <w:rPr>
          <w:rFonts w:hint="eastAsia" w:ascii="黑体" w:hAnsi="黑体" w:eastAsia="黑体" w:cs="Times New Roman"/>
          <w:sz w:val="21"/>
          <w:lang w:val="en-US" w:eastAsia="zh-CN" w:bidi="ar-SA"/>
        </w:rPr>
        <w:t>3.3</w:t>
      </w:r>
    </w:p>
    <w:p>
      <w:pPr>
        <w:pStyle w:val="33"/>
        <w:ind w:left="0" w:leftChars="0" w:firstLine="0" w:firstLineChars="0"/>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充电基础设施</w:t>
      </w:r>
    </w:p>
    <w:p>
      <w:pPr>
        <w:pStyle w:val="33"/>
        <w:ind w:left="0" w:leftChars="0" w:firstLine="0" w:firstLineChars="0"/>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w:t>
      </w:r>
      <w:r>
        <w:rPr>
          <w:rFonts w:hint="eastAsia" w:ascii="宋体" w:hAnsi="Times New Roman" w:eastAsia="宋体" w:cs="宋体"/>
          <w:kern w:val="0"/>
          <w:sz w:val="21"/>
          <w:szCs w:val="21"/>
          <w:lang w:val="en-US" w:eastAsia="zh-CN" w:bidi="ar-SA"/>
        </w:rPr>
        <w:t xml:space="preserve"> 为电动汽车提供电能补给的相关设施额总称，一般包括供配电系统、充电设备、监控管理系统、计量系统以及安装场地、防护设施、通风及消防设施等。</w:t>
      </w:r>
    </w:p>
    <w:p>
      <w:pPr>
        <w:pStyle w:val="33"/>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default" w:ascii="黑体" w:hAnsi="黑体" w:eastAsia="黑体" w:cs="Times New Roman"/>
          <w:sz w:val="21"/>
          <w:lang w:val="en-US" w:eastAsia="zh-CN" w:bidi="ar-SA"/>
        </w:rPr>
      </w:pPr>
      <w:r>
        <w:rPr>
          <w:rFonts w:hint="eastAsia" w:ascii="黑体" w:hAnsi="黑体" w:eastAsia="黑体" w:cs="Times New Roman"/>
          <w:sz w:val="21"/>
          <w:lang w:val="en-US" w:eastAsia="zh-CN" w:bidi="ar-SA"/>
        </w:rPr>
        <w:t>3.4</w:t>
      </w:r>
    </w:p>
    <w:p>
      <w:pPr>
        <w:pStyle w:val="33"/>
        <w:ind w:left="0" w:leftChars="0" w:firstLine="0" w:firstLineChars="0"/>
        <w:rPr>
          <w:rFonts w:hint="default"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充电设备</w:t>
      </w:r>
    </w:p>
    <w:p>
      <w:pPr>
        <w:pStyle w:val="33"/>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Times New Roman"/>
          <w:sz w:val="21"/>
          <w:lang w:val="en-US" w:eastAsia="zh-CN" w:bidi="ar-SA"/>
        </w:rPr>
      </w:pPr>
      <w:r>
        <w:rPr>
          <w:rFonts w:hint="eastAsia" w:ascii="黑体" w:hAnsi="黑体" w:eastAsia="黑体" w:cs="Times New Roman"/>
          <w:sz w:val="21"/>
          <w:lang w:val="en-US" w:eastAsia="zh-CN" w:bidi="ar-SA"/>
        </w:rPr>
        <w:t xml:space="preserve">   </w:t>
      </w:r>
      <w:r>
        <w:rPr>
          <w:rFonts w:hint="eastAsia" w:ascii="宋体" w:hAnsi="Times New Roman" w:eastAsia="宋体" w:cs="宋体"/>
          <w:kern w:val="0"/>
          <w:sz w:val="21"/>
          <w:szCs w:val="21"/>
          <w:lang w:val="en-US" w:eastAsia="zh-CN" w:bidi="ar-SA"/>
        </w:rPr>
        <w:t>与电动车或电池等相连接，并为其提供电能补给的设备，一般包括非车载充电机、车载充电机、交流充电桩等。</w:t>
      </w:r>
    </w:p>
    <w:p>
      <w:pPr>
        <w:pStyle w:val="33"/>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Times New Roman"/>
          <w:sz w:val="21"/>
          <w:highlight w:val="none"/>
          <w:lang w:val="en-US" w:eastAsia="zh-CN" w:bidi="ar-SA"/>
        </w:rPr>
      </w:pPr>
      <w:r>
        <w:rPr>
          <w:rFonts w:hint="eastAsia" w:ascii="黑体" w:hAnsi="黑体" w:eastAsia="黑体" w:cs="Times New Roman"/>
          <w:sz w:val="21"/>
          <w:highlight w:val="none"/>
          <w:lang w:val="en-US" w:eastAsia="zh-CN" w:bidi="ar-SA"/>
        </w:rPr>
        <w:t>3.5</w:t>
      </w:r>
    </w:p>
    <w:p>
      <w:pPr>
        <w:pStyle w:val="33"/>
        <w:ind w:left="0" w:leftChars="0" w:firstLine="420" w:firstLineChars="200"/>
        <w:rPr>
          <w:rFonts w:hint="eastAsia" w:ascii="黑体" w:hAnsi="黑体" w:eastAsia="黑体" w:cs="Times New Roman"/>
          <w:sz w:val="21"/>
          <w:highlight w:val="none"/>
          <w:lang w:val="en-US" w:eastAsia="zh-CN" w:bidi="ar-SA"/>
        </w:rPr>
      </w:pPr>
      <w:r>
        <w:rPr>
          <w:rFonts w:hint="eastAsia" w:ascii="黑体" w:hAnsi="黑体" w:eastAsia="黑体" w:cs="Times New Roman"/>
          <w:sz w:val="21"/>
          <w:highlight w:val="none"/>
          <w:lang w:val="en-US" w:eastAsia="zh-CN" w:bidi="ar-SA"/>
        </w:rPr>
        <w:t>配电网络</w:t>
      </w:r>
    </w:p>
    <w:p>
      <w:pPr>
        <w:pStyle w:val="33"/>
        <w:ind w:left="0" w:leftChars="0" w:firstLine="0" w:firstLineChars="0"/>
        <w:rPr>
          <w:rFonts w:hint="eastAsia" w:ascii="黑体" w:hAnsi="黑体" w:eastAsia="黑体" w:cs="Times New Roman"/>
          <w:sz w:val="21"/>
          <w:highlight w:val="none"/>
          <w:lang w:val="en-US" w:eastAsia="zh-CN" w:bidi="ar-SA"/>
        </w:rPr>
      </w:pPr>
      <w:r>
        <w:rPr>
          <w:rFonts w:hint="eastAsia" w:ascii="黑体" w:hAnsi="黑体" w:eastAsia="黑体" w:cs="Times New Roman"/>
          <w:sz w:val="21"/>
          <w:highlight w:val="none"/>
          <w:lang w:val="en-US" w:eastAsia="zh-CN" w:bidi="ar-SA"/>
        </w:rPr>
        <w:t xml:space="preserve">    </w:t>
      </w:r>
      <w:r>
        <w:rPr>
          <w:rFonts w:hint="eastAsia" w:ascii="宋体" w:hAnsi="Times New Roman" w:eastAsia="宋体" w:cs="宋体"/>
          <w:kern w:val="0"/>
          <w:sz w:val="21"/>
          <w:szCs w:val="21"/>
          <w:highlight w:val="none"/>
          <w:lang w:val="en-US" w:eastAsia="zh-CN" w:bidi="ar-SA"/>
        </w:rPr>
        <w:t>从电源侧（输电网、发电设施、分布式电源等）接受电能，并通电力设备和配电线路组成电力网络</w:t>
      </w:r>
      <w:r>
        <w:rPr>
          <w:rFonts w:hint="eastAsia" w:cs="宋体"/>
          <w:kern w:val="0"/>
          <w:sz w:val="21"/>
          <w:szCs w:val="21"/>
          <w:highlight w:val="none"/>
          <w:lang w:val="en-US" w:eastAsia="zh-CN" w:bidi="ar-SA"/>
        </w:rPr>
        <w:t>为</w:t>
      </w:r>
      <w:r>
        <w:rPr>
          <w:rFonts w:hint="eastAsia" w:ascii="宋体" w:hAnsi="Times New Roman" w:eastAsia="宋体" w:cs="宋体"/>
          <w:kern w:val="0"/>
          <w:sz w:val="21"/>
          <w:szCs w:val="21"/>
          <w:highlight w:val="none"/>
          <w:lang w:val="en-US" w:eastAsia="zh-CN" w:bidi="ar-SA"/>
        </w:rPr>
        <w:t>充电设施提供电源</w:t>
      </w:r>
      <w:r>
        <w:rPr>
          <w:rFonts w:hint="eastAsia" w:cs="宋体"/>
          <w:kern w:val="0"/>
          <w:sz w:val="21"/>
          <w:szCs w:val="21"/>
          <w:highlight w:val="none"/>
          <w:lang w:val="en-US" w:eastAsia="zh-CN" w:bidi="ar-SA"/>
        </w:rPr>
        <w:t>的供电系统，又可称为供电网络。</w:t>
      </w:r>
    </w:p>
    <w:bookmarkEnd w:id="41"/>
    <w:bookmarkEnd w:id="42"/>
    <w:bookmarkEnd w:id="43"/>
    <w:bookmarkEnd w:id="44"/>
    <w:bookmarkEnd w:id="45"/>
    <w:bookmarkEnd w:id="46"/>
    <w:bookmarkEnd w:id="47"/>
    <w:bookmarkEnd w:id="48"/>
    <w:bookmarkEnd w:id="49"/>
    <w:p>
      <w:pPr>
        <w:pStyle w:val="127"/>
        <w:spacing w:before="312" w:after="312"/>
        <w:rPr>
          <w:highlight w:val="none"/>
        </w:rPr>
      </w:pPr>
      <w:bookmarkStart w:id="50" w:name="_Toc29303"/>
      <w:bookmarkStart w:id="51" w:name="_Toc11788"/>
      <w:bookmarkStart w:id="52" w:name="_Toc1724"/>
      <w:bookmarkStart w:id="53" w:name="_Toc54876516"/>
      <w:r>
        <w:rPr>
          <w:rFonts w:hint="eastAsia"/>
          <w:highlight w:val="none"/>
        </w:rPr>
        <w:t>4</w:t>
      </w:r>
      <w:bookmarkEnd w:id="50"/>
      <w:bookmarkEnd w:id="51"/>
      <w:r>
        <w:rPr>
          <w:rFonts w:hint="eastAsia"/>
          <w:highlight w:val="none"/>
        </w:rPr>
        <w:t xml:space="preserve"> 设计原则</w:t>
      </w:r>
      <w:bookmarkEnd w:id="52"/>
    </w:p>
    <w:p>
      <w:pPr>
        <w:pStyle w:val="127"/>
        <w:spacing w:before="156" w:beforeLines="50" w:after="156" w:afterLines="50"/>
        <w:rPr>
          <w:highlight w:val="none"/>
        </w:rPr>
      </w:pPr>
      <w:bookmarkStart w:id="54" w:name="_Toc10704"/>
      <w:bookmarkStart w:id="55" w:name="_Toc27113"/>
      <w:bookmarkStart w:id="56" w:name="_Toc39908078"/>
      <w:bookmarkStart w:id="57" w:name="_Toc22155"/>
      <w:r>
        <w:rPr>
          <w:rFonts w:hint="eastAsia"/>
        </w:rPr>
        <w:t>4.1</w:t>
      </w:r>
      <w:r>
        <w:rPr>
          <w:rFonts w:hint="eastAsia"/>
          <w:lang w:val="en-US" w:eastAsia="zh-CN"/>
        </w:rPr>
        <w:t xml:space="preserve"> </w:t>
      </w:r>
      <w:r>
        <w:rPr>
          <w:rFonts w:hint="eastAsia"/>
        </w:rPr>
        <w:t>总体原则</w:t>
      </w:r>
      <w:bookmarkEnd w:id="54"/>
    </w:p>
    <w:p>
      <w:pPr>
        <w:autoSpaceDE w:val="0"/>
        <w:autoSpaceDN w:val="0"/>
        <w:adjustRightInd w:val="0"/>
        <w:jc w:val="left"/>
        <w:rPr>
          <w:rFonts w:ascii="宋体" w:cs="宋体"/>
          <w:kern w:val="0"/>
          <w:szCs w:val="21"/>
        </w:rPr>
      </w:pPr>
      <w:r>
        <w:rPr>
          <w:rFonts w:hint="eastAsia" w:asciiTheme="minorEastAsia" w:hAnsiTheme="minorEastAsia" w:eastAsiaTheme="minorEastAsia"/>
          <w:highlight w:val="none"/>
        </w:rPr>
        <w:t xml:space="preserve">    </w:t>
      </w:r>
      <w:bookmarkStart w:id="58" w:name="_Toc14561"/>
      <w:r>
        <w:rPr>
          <w:rFonts w:hint="eastAsia" w:ascii="宋体" w:cs="宋体"/>
          <w:kern w:val="0"/>
          <w:szCs w:val="21"/>
          <w:highlight w:val="none"/>
        </w:rPr>
        <w:t>新建居住区固定车位应</w:t>
      </w:r>
      <w:r>
        <w:rPr>
          <w:rFonts w:ascii="宋体" w:cs="宋体"/>
          <w:kern w:val="0"/>
          <w:szCs w:val="21"/>
          <w:highlight w:val="none"/>
        </w:rPr>
        <w:t>100%</w:t>
      </w:r>
      <w:r>
        <w:rPr>
          <w:rFonts w:hint="eastAsia" w:ascii="宋体" w:cs="宋体"/>
          <w:kern w:val="0"/>
          <w:szCs w:val="21"/>
          <w:highlight w:val="none"/>
        </w:rPr>
        <w:t>具备充电基础设施直接接入条件，包括建设电力容量、低压出线回路、配电分支箱、电缆通道、电缆、集中计量表箱等配套供电设施。</w:t>
      </w:r>
      <w:r>
        <w:rPr>
          <w:rFonts w:hint="eastAsia" w:ascii="宋体" w:cs="宋体"/>
          <w:kern w:val="0"/>
          <w:szCs w:val="21"/>
        </w:rPr>
        <w:t>既有居住区应结合电动汽车的充电需求和配电网络现状合理规划、分步实施。</w:t>
      </w:r>
    </w:p>
    <w:bookmarkEnd w:id="58"/>
    <w:p>
      <w:pPr>
        <w:pStyle w:val="127"/>
        <w:spacing w:before="156" w:beforeLines="50" w:after="156" w:afterLines="50"/>
      </w:pPr>
      <w:bookmarkStart w:id="59" w:name="_Toc27849"/>
      <w:r>
        <w:rPr>
          <w:rFonts w:hint="eastAsia"/>
        </w:rPr>
        <w:t>4.2 标准化配置</w:t>
      </w:r>
      <w:r>
        <w:rPr>
          <w:rFonts w:hint="eastAsia"/>
          <w:lang w:eastAsia="zh-CN"/>
        </w:rPr>
        <w:t>及主要电气设备选择</w:t>
      </w:r>
      <w:r>
        <w:rPr>
          <w:rFonts w:hint="eastAsia"/>
        </w:rPr>
        <w:t>要求</w:t>
      </w:r>
      <w:bookmarkEnd w:id="59"/>
    </w:p>
    <w:p>
      <w:pPr>
        <w:autoSpaceDE w:val="0"/>
        <w:autoSpaceDN w:val="0"/>
        <w:adjustRightInd w:val="0"/>
        <w:jc w:val="left"/>
        <w:rPr>
          <w:rFonts w:ascii="宋体" w:cs="宋体"/>
          <w:kern w:val="0"/>
          <w:szCs w:val="21"/>
          <w:highlight w:val="none"/>
        </w:rPr>
      </w:pPr>
      <w:r>
        <w:rPr>
          <w:rFonts w:hint="eastAsia" w:asciiTheme="minorEastAsia" w:hAnsiTheme="minorEastAsia" w:eastAsiaTheme="minorEastAsia"/>
        </w:rPr>
        <w:t xml:space="preserve">   </w:t>
      </w:r>
      <w:bookmarkStart w:id="60" w:name="_Toc2336"/>
      <w:r>
        <w:rPr>
          <w:rFonts w:hint="eastAsia" w:asciiTheme="minorEastAsia" w:hAnsiTheme="minorEastAsia" w:eastAsiaTheme="minorEastAsia"/>
          <w:lang w:val="en-US" w:eastAsia="zh-CN"/>
        </w:rPr>
        <w:t xml:space="preserve"> </w:t>
      </w:r>
      <w:r>
        <w:rPr>
          <w:rFonts w:hint="eastAsia" w:ascii="宋体" w:cs="宋体"/>
          <w:kern w:val="0"/>
          <w:szCs w:val="21"/>
        </w:rPr>
        <w:t>充电</w:t>
      </w:r>
      <w:r>
        <w:rPr>
          <w:rFonts w:hint="eastAsia" w:ascii="宋体" w:cs="宋体"/>
          <w:kern w:val="0"/>
          <w:szCs w:val="21"/>
          <w:highlight w:val="none"/>
        </w:rPr>
        <w:t>设施</w:t>
      </w:r>
      <w:r>
        <w:rPr>
          <w:rFonts w:hint="eastAsia" w:ascii="宋体" w:cs="宋体"/>
          <w:kern w:val="0"/>
          <w:szCs w:val="21"/>
          <w:highlight w:val="none"/>
          <w:lang w:eastAsia="zh-CN"/>
        </w:rPr>
        <w:t>的</w:t>
      </w:r>
      <w:r>
        <w:rPr>
          <w:rFonts w:hint="eastAsia" w:ascii="宋体" w:cs="宋体"/>
          <w:kern w:val="0"/>
          <w:szCs w:val="21"/>
          <w:highlight w:val="none"/>
        </w:rPr>
        <w:t>配套建设与接入改造</w:t>
      </w:r>
      <w:r>
        <w:rPr>
          <w:rFonts w:hint="eastAsia" w:ascii="宋体" w:cs="宋体"/>
          <w:kern w:val="0"/>
          <w:szCs w:val="21"/>
          <w:highlight w:val="none"/>
          <w:lang w:eastAsia="zh-CN"/>
        </w:rPr>
        <w:t>，</w:t>
      </w:r>
      <w:r>
        <w:rPr>
          <w:rFonts w:hint="eastAsia" w:ascii="宋体" w:cs="宋体"/>
          <w:kern w:val="0"/>
          <w:szCs w:val="21"/>
          <w:highlight w:val="none"/>
        </w:rPr>
        <w:t>应采用成熟先进的新技术、新设备、新材料、新工艺，按照“资源节约型、环境友好型”原则，优先选用小型化、免</w:t>
      </w:r>
      <w:r>
        <w:rPr>
          <w:rFonts w:ascii="宋体" w:cs="宋体"/>
          <w:kern w:val="0"/>
          <w:szCs w:val="21"/>
          <w:highlight w:val="none"/>
        </w:rPr>
        <w:t>(</w:t>
      </w:r>
      <w:r>
        <w:rPr>
          <w:rFonts w:hint="eastAsia" w:ascii="宋体" w:cs="宋体"/>
          <w:kern w:val="0"/>
          <w:szCs w:val="21"/>
          <w:highlight w:val="none"/>
        </w:rPr>
        <w:t>少</w:t>
      </w:r>
      <w:r>
        <w:rPr>
          <w:rFonts w:ascii="宋体" w:cs="宋体"/>
          <w:kern w:val="0"/>
          <w:szCs w:val="21"/>
          <w:highlight w:val="none"/>
        </w:rPr>
        <w:t>)</w:t>
      </w:r>
      <w:r>
        <w:rPr>
          <w:rFonts w:hint="eastAsia" w:ascii="宋体" w:cs="宋体"/>
          <w:kern w:val="0"/>
          <w:szCs w:val="21"/>
          <w:highlight w:val="none"/>
        </w:rPr>
        <w:t>维护、低损耗节能环保的标准化配电网设备。</w:t>
      </w:r>
    </w:p>
    <w:p>
      <w:pPr>
        <w:autoSpaceDE w:val="0"/>
        <w:autoSpaceDN w:val="0"/>
        <w:adjustRightInd w:val="0"/>
        <w:ind w:firstLine="420" w:firstLineChars="200"/>
        <w:jc w:val="left"/>
        <w:rPr>
          <w:rFonts w:ascii="宋体" w:cs="宋体"/>
          <w:kern w:val="0"/>
          <w:szCs w:val="21"/>
          <w:highlight w:val="none"/>
        </w:rPr>
      </w:pPr>
      <w:r>
        <w:rPr>
          <w:rFonts w:hint="eastAsia" w:ascii="宋体" w:cs="宋体"/>
          <w:kern w:val="0"/>
          <w:szCs w:val="21"/>
          <w:highlight w:val="none"/>
        </w:rPr>
        <w:t>主要电气设备</w:t>
      </w:r>
      <w:r>
        <w:rPr>
          <w:rFonts w:hint="eastAsia" w:ascii="宋体" w:cs="宋体"/>
          <w:kern w:val="0"/>
          <w:szCs w:val="21"/>
          <w:highlight w:val="none"/>
          <w:lang w:eastAsia="zh-CN"/>
        </w:rPr>
        <w:t>的</w:t>
      </w:r>
      <w:r>
        <w:rPr>
          <w:rFonts w:hint="eastAsia" w:ascii="宋体" w:cs="宋体"/>
          <w:kern w:val="0"/>
          <w:szCs w:val="21"/>
          <w:highlight w:val="none"/>
        </w:rPr>
        <w:t>选择</w:t>
      </w:r>
      <w:r>
        <w:rPr>
          <w:rFonts w:hint="eastAsia" w:ascii="宋体" w:cs="宋体"/>
          <w:kern w:val="0"/>
          <w:szCs w:val="21"/>
          <w:highlight w:val="none"/>
          <w:lang w:eastAsia="zh-CN"/>
        </w:rPr>
        <w:t>，应</w:t>
      </w:r>
      <w:r>
        <w:rPr>
          <w:rFonts w:hint="eastAsia" w:ascii="宋体" w:cs="宋体"/>
          <w:kern w:val="0"/>
          <w:szCs w:val="21"/>
          <w:highlight w:val="none"/>
        </w:rPr>
        <w:t>按照可用寿命期内综合优化原则</w:t>
      </w:r>
      <w:r>
        <w:rPr>
          <w:rFonts w:hint="eastAsia" w:ascii="宋体" w:cs="宋体"/>
          <w:kern w:val="0"/>
          <w:szCs w:val="21"/>
          <w:highlight w:val="none"/>
          <w:lang w:eastAsia="zh-CN"/>
        </w:rPr>
        <w:t>，</w:t>
      </w:r>
      <w:r>
        <w:rPr>
          <w:rFonts w:hint="eastAsia" w:ascii="宋体" w:cs="宋体"/>
          <w:kern w:val="0"/>
          <w:szCs w:val="21"/>
          <w:highlight w:val="none"/>
        </w:rPr>
        <w:t>选择免检修、少维护的电气设备，其应能满足安全可靠、技术先进、经济适用、环境友好的要求，设备应实现模块化，易扩展。</w:t>
      </w:r>
    </w:p>
    <w:bookmarkEnd w:id="60"/>
    <w:p>
      <w:pPr>
        <w:pStyle w:val="127"/>
        <w:spacing w:before="156" w:beforeLines="50" w:after="156" w:afterLines="50"/>
        <w:rPr>
          <w:highlight w:val="none"/>
        </w:rPr>
      </w:pPr>
      <w:bookmarkStart w:id="61" w:name="_Toc30060"/>
      <w:bookmarkStart w:id="62" w:name="_Toc29811"/>
      <w:r>
        <w:rPr>
          <w:rFonts w:hint="eastAsia"/>
        </w:rPr>
        <w:t>4.3</w:t>
      </w:r>
      <w:bookmarkEnd w:id="61"/>
      <w:r>
        <w:rPr>
          <w:rFonts w:hint="eastAsia"/>
          <w:lang w:val="en-US" w:eastAsia="zh-CN"/>
        </w:rPr>
        <w:t xml:space="preserve"> </w:t>
      </w:r>
      <w:r>
        <w:rPr>
          <w:rFonts w:hint="eastAsia"/>
        </w:rPr>
        <w:t>绝缘配合及过电压保护</w:t>
      </w:r>
      <w:bookmarkEnd w:id="62"/>
    </w:p>
    <w:p>
      <w:pPr>
        <w:autoSpaceDE w:val="0"/>
        <w:autoSpaceDN w:val="0"/>
        <w:adjustRightInd w:val="0"/>
        <w:jc w:val="left"/>
        <w:rPr>
          <w:rFonts w:ascii="宋体" w:cs="宋体"/>
          <w:kern w:val="0"/>
          <w:szCs w:val="21"/>
          <w:highlight w:val="none"/>
        </w:rPr>
      </w:pPr>
      <w:r>
        <w:rPr>
          <w:rFonts w:hint="eastAsia" w:ascii="黑体" w:hAnsi="黑体" w:eastAsia="黑体"/>
          <w:highlight w:val="none"/>
        </w:rPr>
        <w:t>4.3.1</w:t>
      </w:r>
      <w:r>
        <w:rPr>
          <w:rFonts w:hint="eastAsia"/>
          <w:highlight w:val="none"/>
        </w:rPr>
        <w:t xml:space="preserve"> </w:t>
      </w:r>
      <w:r>
        <w:rPr>
          <w:rFonts w:hint="eastAsia" w:ascii="宋体" w:cs="宋体"/>
          <w:kern w:val="0"/>
          <w:szCs w:val="21"/>
          <w:highlight w:val="none"/>
        </w:rPr>
        <w:t>电气设备的绝缘配合，参照</w:t>
      </w:r>
      <w:r>
        <w:rPr>
          <w:rFonts w:ascii="宋体" w:cs="宋体"/>
          <w:kern w:val="0"/>
          <w:szCs w:val="21"/>
          <w:highlight w:val="none"/>
        </w:rPr>
        <w:t>GB/T 50064</w:t>
      </w:r>
      <w:r>
        <w:rPr>
          <w:rFonts w:hint="eastAsia" w:ascii="宋体" w:cs="宋体"/>
          <w:kern w:val="0"/>
          <w:szCs w:val="21"/>
          <w:highlight w:val="none"/>
        </w:rPr>
        <w:t>确定的原则进行。</w:t>
      </w:r>
    </w:p>
    <w:p>
      <w:pPr>
        <w:autoSpaceDE w:val="0"/>
        <w:autoSpaceDN w:val="0"/>
        <w:adjustRightInd w:val="0"/>
        <w:jc w:val="left"/>
        <w:rPr>
          <w:rFonts w:ascii="宋体" w:cs="宋体"/>
          <w:kern w:val="0"/>
          <w:szCs w:val="21"/>
          <w:highlight w:val="none"/>
        </w:rPr>
      </w:pPr>
      <w:r>
        <w:rPr>
          <w:rFonts w:hint="eastAsia" w:ascii="黑体" w:hAnsi="黑体" w:eastAsia="黑体"/>
          <w:highlight w:val="none"/>
        </w:rPr>
        <w:t>4.3.2</w:t>
      </w:r>
      <w:r>
        <w:rPr>
          <w:rFonts w:hint="eastAsia"/>
          <w:highlight w:val="none"/>
        </w:rPr>
        <w:t xml:space="preserve"> </w:t>
      </w:r>
      <w:r>
        <w:rPr>
          <w:rFonts w:hint="eastAsia" w:ascii="宋体" w:cs="宋体"/>
          <w:kern w:val="0"/>
          <w:szCs w:val="21"/>
          <w:highlight w:val="none"/>
        </w:rPr>
        <w:t>防雷设计应满足</w:t>
      </w:r>
      <w:r>
        <w:rPr>
          <w:rFonts w:ascii="宋体" w:cs="宋体"/>
          <w:kern w:val="0"/>
          <w:szCs w:val="21"/>
          <w:highlight w:val="none"/>
        </w:rPr>
        <w:t>GB 50057</w:t>
      </w:r>
      <w:r>
        <w:rPr>
          <w:rFonts w:hint="eastAsia" w:ascii="宋体" w:cs="宋体"/>
          <w:kern w:val="0"/>
          <w:szCs w:val="21"/>
          <w:highlight w:val="none"/>
        </w:rPr>
        <w:t>的要求。</w:t>
      </w:r>
    </w:p>
    <w:p>
      <w:pPr>
        <w:autoSpaceDE w:val="0"/>
        <w:autoSpaceDN w:val="0"/>
        <w:adjustRightInd w:val="0"/>
        <w:jc w:val="left"/>
        <w:rPr>
          <w:rFonts w:ascii="宋体" w:cs="宋体"/>
          <w:kern w:val="0"/>
          <w:sz w:val="20"/>
          <w:szCs w:val="20"/>
          <w:highlight w:val="none"/>
        </w:rPr>
      </w:pPr>
      <w:r>
        <w:rPr>
          <w:rFonts w:hint="eastAsia" w:ascii="黑体" w:hAnsi="黑体" w:eastAsia="黑体"/>
          <w:highlight w:val="none"/>
        </w:rPr>
        <w:t xml:space="preserve">4.3.3 </w:t>
      </w:r>
      <w:r>
        <w:rPr>
          <w:rFonts w:hint="eastAsia" w:cs="宋体" w:asciiTheme="minorEastAsia" w:hAnsiTheme="minorEastAsia" w:eastAsiaTheme="minorEastAsia"/>
          <w:kern w:val="0"/>
          <w:szCs w:val="21"/>
          <w:highlight w:val="none"/>
        </w:rPr>
        <w:t>采用交流无间隙金属氧化物避雷器进行过电压保护。采用</w:t>
      </w:r>
      <w:r>
        <w:rPr>
          <w:rFonts w:cs="TimesNewRomanPSMT" w:asciiTheme="minorEastAsia" w:hAnsiTheme="minorEastAsia" w:eastAsiaTheme="minorEastAsia"/>
          <w:kern w:val="0"/>
          <w:szCs w:val="21"/>
          <w:highlight w:val="none"/>
        </w:rPr>
        <w:t xml:space="preserve">T1 </w:t>
      </w:r>
      <w:r>
        <w:rPr>
          <w:rFonts w:hint="eastAsia" w:cs="宋体" w:asciiTheme="minorEastAsia" w:hAnsiTheme="minorEastAsia" w:eastAsiaTheme="minorEastAsia"/>
          <w:kern w:val="0"/>
          <w:szCs w:val="21"/>
          <w:highlight w:val="none"/>
        </w:rPr>
        <w:t>级电涌保护器进行雷电磁感应过电压保护。</w:t>
      </w:r>
    </w:p>
    <w:p>
      <w:pPr>
        <w:autoSpaceDE w:val="0"/>
        <w:autoSpaceDN w:val="0"/>
        <w:adjustRightInd w:val="0"/>
        <w:jc w:val="left"/>
        <w:rPr>
          <w:rFonts w:ascii="宋体" w:cs="宋体"/>
          <w:kern w:val="0"/>
          <w:szCs w:val="21"/>
          <w:highlight w:val="none"/>
        </w:rPr>
      </w:pPr>
      <w:r>
        <w:rPr>
          <w:rFonts w:hint="eastAsia" w:ascii="黑体" w:hAnsi="黑体" w:eastAsia="黑体"/>
          <w:highlight w:val="none"/>
        </w:rPr>
        <w:t xml:space="preserve">4.3.4 </w:t>
      </w:r>
      <w:r>
        <w:rPr>
          <w:rFonts w:hint="eastAsia" w:ascii="宋体" w:cs="宋体"/>
          <w:kern w:val="0"/>
          <w:szCs w:val="21"/>
          <w:highlight w:val="none"/>
        </w:rPr>
        <w:t>交流电气装置的接地应符合</w:t>
      </w:r>
      <w:r>
        <w:rPr>
          <w:rFonts w:ascii="宋体" w:cs="宋体"/>
          <w:kern w:val="0"/>
          <w:szCs w:val="21"/>
          <w:highlight w:val="none"/>
        </w:rPr>
        <w:t>GB/T 50065</w:t>
      </w:r>
      <w:r>
        <w:rPr>
          <w:rFonts w:hint="eastAsia" w:ascii="宋体" w:cs="宋体"/>
          <w:kern w:val="0"/>
          <w:szCs w:val="21"/>
          <w:highlight w:val="none"/>
        </w:rPr>
        <w:t>要求。采用水平和垂直接地的混合接地网。接地体的截面和材料选择应考虑热稳定和腐蚀的要求。接地电阻、跨步电压和接触电压应满足有关规程要求。具体工程中如接地电阻不能满足要求，则需要采取降阻措施。</w:t>
      </w:r>
    </w:p>
    <w:p>
      <w:pPr>
        <w:autoSpaceDE w:val="0"/>
        <w:autoSpaceDN w:val="0"/>
        <w:adjustRightInd w:val="0"/>
        <w:jc w:val="left"/>
        <w:rPr>
          <w:rFonts w:ascii="宋体" w:cs="宋体"/>
          <w:kern w:val="0"/>
          <w:sz w:val="20"/>
          <w:szCs w:val="20"/>
          <w:highlight w:val="none"/>
        </w:rPr>
      </w:pPr>
      <w:r>
        <w:rPr>
          <w:rFonts w:hint="eastAsia" w:ascii="黑体" w:hAnsi="黑体" w:eastAsia="黑体"/>
          <w:highlight w:val="none"/>
        </w:rPr>
        <w:t xml:space="preserve">4.3.5 </w:t>
      </w:r>
      <w:r>
        <w:rPr>
          <w:rFonts w:hint="eastAsia" w:ascii="宋体" w:cs="宋体"/>
          <w:kern w:val="0"/>
          <w:szCs w:val="21"/>
          <w:highlight w:val="none"/>
        </w:rPr>
        <w:t>配电网的过电压保护和接地设计应符合</w:t>
      </w:r>
      <w:r>
        <w:rPr>
          <w:rFonts w:ascii="宋体" w:cs="宋体"/>
          <w:kern w:val="0"/>
          <w:szCs w:val="21"/>
          <w:highlight w:val="none"/>
        </w:rPr>
        <w:t>GB/T 50064</w:t>
      </w:r>
      <w:r>
        <w:rPr>
          <w:rFonts w:hint="eastAsia" w:ascii="宋体" w:cs="宋体"/>
          <w:kern w:val="0"/>
          <w:szCs w:val="21"/>
          <w:highlight w:val="none"/>
        </w:rPr>
        <w:t>、</w:t>
      </w:r>
      <w:r>
        <w:rPr>
          <w:rFonts w:ascii="宋体" w:cs="宋体"/>
          <w:kern w:val="0"/>
          <w:szCs w:val="21"/>
          <w:highlight w:val="none"/>
        </w:rPr>
        <w:t xml:space="preserve">GB/T 50065 </w:t>
      </w:r>
      <w:r>
        <w:rPr>
          <w:rFonts w:hint="eastAsia" w:ascii="宋体" w:cs="宋体"/>
          <w:kern w:val="0"/>
          <w:szCs w:val="21"/>
          <w:highlight w:val="none"/>
        </w:rPr>
        <w:t>的要求。</w:t>
      </w:r>
    </w:p>
    <w:p>
      <w:pPr>
        <w:pStyle w:val="127"/>
        <w:spacing w:before="156" w:beforeLines="50" w:after="156" w:afterLines="50"/>
        <w:rPr>
          <w:highlight w:val="none"/>
        </w:rPr>
      </w:pPr>
      <w:bookmarkStart w:id="63" w:name="_Toc23515"/>
      <w:bookmarkStart w:id="64" w:name="_Toc11300"/>
      <w:r>
        <w:rPr>
          <w:rFonts w:hint="eastAsia"/>
          <w:highlight w:val="none"/>
        </w:rPr>
        <w:t xml:space="preserve">4.4 </w:t>
      </w:r>
      <w:bookmarkEnd w:id="63"/>
      <w:r>
        <w:rPr>
          <w:rFonts w:hint="eastAsia"/>
          <w:highlight w:val="none"/>
        </w:rPr>
        <w:t>高海拔地区的</w:t>
      </w:r>
      <w:r>
        <w:rPr>
          <w:rFonts w:hint="eastAsia"/>
          <w:highlight w:val="none"/>
          <w:lang w:val="en-US" w:eastAsia="zh-CN"/>
        </w:rPr>
        <w:t>电气设备</w:t>
      </w:r>
      <w:r>
        <w:rPr>
          <w:rFonts w:hint="eastAsia"/>
          <w:highlight w:val="none"/>
        </w:rPr>
        <w:t>选型原则</w:t>
      </w:r>
      <w:bookmarkEnd w:id="64"/>
    </w:p>
    <w:p>
      <w:pPr>
        <w:autoSpaceDE w:val="0"/>
        <w:autoSpaceDN w:val="0"/>
        <w:adjustRightInd w:val="0"/>
        <w:ind w:firstLine="420"/>
        <w:jc w:val="left"/>
        <w:rPr>
          <w:rFonts w:hint="eastAsia" w:ascii="宋体" w:cs="宋体"/>
          <w:kern w:val="0"/>
          <w:szCs w:val="21"/>
          <w:highlight w:val="none"/>
        </w:rPr>
      </w:pPr>
      <w:bookmarkStart w:id="65" w:name="_Toc20728"/>
      <w:r>
        <w:rPr>
          <w:rFonts w:hint="eastAsia" w:ascii="宋体" w:cs="宋体"/>
          <w:kern w:val="0"/>
          <w:szCs w:val="21"/>
          <w:highlight w:val="none"/>
        </w:rPr>
        <w:t>当海拔位于</w:t>
      </w:r>
      <w:r>
        <w:rPr>
          <w:rFonts w:ascii="宋体" w:cs="宋体"/>
          <w:kern w:val="0"/>
          <w:szCs w:val="21"/>
          <w:highlight w:val="none"/>
        </w:rPr>
        <w:t xml:space="preserve">1000m&lt;H&lt;3000m </w:t>
      </w:r>
      <w:r>
        <w:rPr>
          <w:rFonts w:hint="eastAsia" w:ascii="宋体" w:cs="宋体"/>
          <w:kern w:val="0"/>
          <w:szCs w:val="21"/>
          <w:highlight w:val="none"/>
        </w:rPr>
        <w:t>时，采用高原型设备，仅对设备空气间隙及外绝缘水平进行修正，典型设计接线方案与设备平面布置尺寸与海拔</w:t>
      </w:r>
      <w:r>
        <w:rPr>
          <w:rFonts w:ascii="宋体" w:cs="宋体"/>
          <w:kern w:val="0"/>
          <w:szCs w:val="21"/>
          <w:highlight w:val="none"/>
        </w:rPr>
        <w:t xml:space="preserve">&lt;1000m </w:t>
      </w:r>
      <w:r>
        <w:rPr>
          <w:rFonts w:hint="eastAsia" w:ascii="宋体" w:cs="宋体"/>
          <w:kern w:val="0"/>
          <w:szCs w:val="21"/>
          <w:highlight w:val="none"/>
        </w:rPr>
        <w:t>时均相同。</w:t>
      </w:r>
    </w:p>
    <w:p>
      <w:pPr>
        <w:autoSpaceDE w:val="0"/>
        <w:autoSpaceDN w:val="0"/>
        <w:adjustRightInd w:val="0"/>
        <w:ind w:firstLine="420"/>
        <w:jc w:val="left"/>
        <w:rPr>
          <w:rFonts w:ascii="宋体" w:cs="宋体"/>
          <w:kern w:val="0"/>
          <w:szCs w:val="21"/>
          <w:highlight w:val="none"/>
        </w:rPr>
      </w:pPr>
      <w:r>
        <w:rPr>
          <w:rFonts w:hint="eastAsia" w:ascii="宋体" w:cs="宋体"/>
          <w:kern w:val="0"/>
          <w:szCs w:val="21"/>
          <w:highlight w:val="none"/>
        </w:rPr>
        <w:t>当海拔位于</w:t>
      </w:r>
      <w:r>
        <w:rPr>
          <w:rFonts w:ascii="宋体" w:cs="宋体"/>
          <w:kern w:val="0"/>
          <w:szCs w:val="21"/>
          <w:highlight w:val="none"/>
        </w:rPr>
        <w:t xml:space="preserve">3000m&lt;H&lt;4000m </w:t>
      </w:r>
      <w:r>
        <w:rPr>
          <w:rFonts w:hint="eastAsia" w:ascii="宋体" w:cs="宋体"/>
          <w:kern w:val="0"/>
          <w:szCs w:val="21"/>
          <w:highlight w:val="none"/>
        </w:rPr>
        <w:t>时，所有设备采用高原型设备，设备间隙及外绝缘水平按海拔修正。</w:t>
      </w:r>
    </w:p>
    <w:bookmarkEnd w:id="65"/>
    <w:p>
      <w:pPr>
        <w:pStyle w:val="127"/>
        <w:spacing w:before="156" w:beforeLines="50" w:after="156" w:afterLines="50"/>
        <w:rPr>
          <w:highlight w:val="none"/>
        </w:rPr>
      </w:pPr>
      <w:bookmarkStart w:id="66" w:name="_Toc21124"/>
      <w:bookmarkStart w:id="67" w:name="_Toc6065"/>
      <w:r>
        <w:rPr>
          <w:rFonts w:hint="eastAsia"/>
          <w:highlight w:val="none"/>
        </w:rPr>
        <w:t>4.5</w:t>
      </w:r>
      <w:bookmarkEnd w:id="66"/>
      <w:r>
        <w:rPr>
          <w:rFonts w:hint="eastAsia"/>
          <w:highlight w:val="none"/>
        </w:rPr>
        <w:t xml:space="preserve"> 电缆的选择和敷设</w:t>
      </w:r>
      <w:bookmarkEnd w:id="67"/>
    </w:p>
    <w:p>
      <w:pPr>
        <w:autoSpaceDE w:val="0"/>
        <w:autoSpaceDN w:val="0"/>
        <w:adjustRightInd w:val="0"/>
        <w:ind w:firstLine="420"/>
        <w:jc w:val="left"/>
        <w:rPr>
          <w:rFonts w:hint="eastAsia" w:ascii="宋体" w:cs="宋体"/>
          <w:kern w:val="0"/>
          <w:szCs w:val="21"/>
          <w:highlight w:val="none"/>
        </w:rPr>
      </w:pPr>
      <w:r>
        <w:rPr>
          <w:rFonts w:hint="eastAsia" w:ascii="宋体" w:cs="宋体"/>
          <w:kern w:val="0"/>
          <w:szCs w:val="21"/>
          <w:highlight w:val="none"/>
        </w:rPr>
        <w:t>电缆的选择和敷设应符合</w:t>
      </w:r>
      <w:r>
        <w:rPr>
          <w:rFonts w:ascii="宋体" w:cs="宋体"/>
          <w:kern w:val="0"/>
          <w:szCs w:val="21"/>
          <w:highlight w:val="none"/>
        </w:rPr>
        <w:t xml:space="preserve">GB 50217 </w:t>
      </w:r>
      <w:r>
        <w:rPr>
          <w:rFonts w:hint="eastAsia" w:ascii="宋体" w:cs="宋体"/>
          <w:kern w:val="0"/>
          <w:szCs w:val="21"/>
          <w:highlight w:val="none"/>
        </w:rPr>
        <w:t>的要求。</w:t>
      </w:r>
    </w:p>
    <w:p>
      <w:pPr>
        <w:pStyle w:val="127"/>
        <w:spacing w:before="156" w:beforeLines="50" w:after="156" w:afterLines="50"/>
        <w:rPr>
          <w:highlight w:val="none"/>
        </w:rPr>
      </w:pPr>
      <w:bookmarkStart w:id="68" w:name="_Toc24859"/>
      <w:r>
        <w:rPr>
          <w:rFonts w:hint="eastAsia"/>
          <w:highlight w:val="none"/>
        </w:rPr>
        <w:t>4.6 线路保护和通信</w:t>
      </w:r>
      <w:bookmarkEnd w:id="68"/>
    </w:p>
    <w:p>
      <w:pPr>
        <w:autoSpaceDE w:val="0"/>
        <w:autoSpaceDN w:val="0"/>
        <w:adjustRightInd w:val="0"/>
        <w:ind w:firstLine="420"/>
        <w:jc w:val="left"/>
        <w:rPr>
          <w:rFonts w:ascii="宋体" w:cs="宋体"/>
          <w:kern w:val="0"/>
          <w:szCs w:val="21"/>
          <w:highlight w:val="none"/>
        </w:rPr>
      </w:pPr>
      <w:r>
        <w:rPr>
          <w:rFonts w:hint="eastAsia" w:ascii="宋体" w:cs="宋体"/>
          <w:kern w:val="0"/>
          <w:szCs w:val="21"/>
          <w:highlight w:val="none"/>
        </w:rPr>
        <w:t>配电线路的保护应符合</w:t>
      </w:r>
      <w:r>
        <w:rPr>
          <w:rFonts w:ascii="宋体" w:cs="宋体"/>
          <w:kern w:val="0"/>
          <w:szCs w:val="21"/>
          <w:highlight w:val="none"/>
        </w:rPr>
        <w:t xml:space="preserve">GB 50054 </w:t>
      </w:r>
      <w:r>
        <w:rPr>
          <w:rFonts w:hint="eastAsia" w:ascii="宋体" w:cs="宋体"/>
          <w:kern w:val="0"/>
          <w:szCs w:val="21"/>
          <w:highlight w:val="none"/>
        </w:rPr>
        <w:t>的要求。</w:t>
      </w:r>
    </w:p>
    <w:p>
      <w:pPr>
        <w:autoSpaceDE w:val="0"/>
        <w:autoSpaceDN w:val="0"/>
        <w:adjustRightInd w:val="0"/>
        <w:ind w:firstLine="420"/>
        <w:jc w:val="left"/>
        <w:rPr>
          <w:rFonts w:hint="eastAsia" w:ascii="宋体" w:cs="宋体"/>
          <w:kern w:val="0"/>
          <w:szCs w:val="21"/>
          <w:highlight w:val="none"/>
        </w:rPr>
      </w:pPr>
      <w:r>
        <w:rPr>
          <w:rFonts w:hint="eastAsia" w:ascii="宋体" w:cs="宋体"/>
          <w:kern w:val="0"/>
          <w:szCs w:val="21"/>
          <w:highlight w:val="none"/>
        </w:rPr>
        <w:t>充电设施配建区域应结合当地有序充电方案，配套提供相应通信条件。</w:t>
      </w:r>
    </w:p>
    <w:p>
      <w:pPr>
        <w:pStyle w:val="127"/>
        <w:spacing w:before="156" w:beforeLines="50" w:after="156" w:afterLines="50"/>
        <w:rPr>
          <w:highlight w:val="none"/>
        </w:rPr>
      </w:pPr>
      <w:bookmarkStart w:id="69" w:name="_Toc21726"/>
      <w:r>
        <w:rPr>
          <w:rFonts w:hint="eastAsia"/>
          <w:highlight w:val="none"/>
        </w:rPr>
        <w:t>4.7 消防要求</w:t>
      </w:r>
      <w:bookmarkEnd w:id="69"/>
    </w:p>
    <w:p>
      <w:pPr>
        <w:autoSpaceDE w:val="0"/>
        <w:autoSpaceDN w:val="0"/>
        <w:adjustRightInd w:val="0"/>
        <w:ind w:firstLine="420"/>
        <w:jc w:val="left"/>
        <w:rPr>
          <w:rFonts w:ascii="宋体" w:cs="宋体"/>
          <w:kern w:val="0"/>
          <w:szCs w:val="21"/>
          <w:highlight w:val="none"/>
        </w:rPr>
      </w:pPr>
      <w:r>
        <w:rPr>
          <w:rFonts w:hint="eastAsia" w:ascii="宋体" w:cs="宋体"/>
          <w:kern w:val="0"/>
          <w:szCs w:val="21"/>
          <w:highlight w:val="none"/>
        </w:rPr>
        <w:t>充电设施配建区域的消防设施应符合</w:t>
      </w:r>
      <w:r>
        <w:rPr>
          <w:rFonts w:ascii="宋体" w:cs="宋体"/>
          <w:kern w:val="0"/>
          <w:szCs w:val="21"/>
          <w:highlight w:val="none"/>
        </w:rPr>
        <w:t>GB 50016</w:t>
      </w:r>
      <w:r>
        <w:rPr>
          <w:rFonts w:hint="eastAsia" w:ascii="宋体" w:cs="宋体"/>
          <w:kern w:val="0"/>
          <w:szCs w:val="21"/>
          <w:highlight w:val="none"/>
        </w:rPr>
        <w:t>、</w:t>
      </w:r>
      <w:r>
        <w:rPr>
          <w:rFonts w:ascii="宋体" w:cs="宋体"/>
          <w:kern w:val="0"/>
          <w:szCs w:val="21"/>
          <w:highlight w:val="none"/>
        </w:rPr>
        <w:t>GB 50067</w:t>
      </w:r>
      <w:r>
        <w:rPr>
          <w:rFonts w:hint="eastAsia" w:ascii="宋体" w:cs="宋体"/>
          <w:kern w:val="0"/>
          <w:szCs w:val="21"/>
          <w:highlight w:val="none"/>
        </w:rPr>
        <w:t>、</w:t>
      </w:r>
      <w:r>
        <w:rPr>
          <w:rFonts w:ascii="宋体" w:cs="宋体"/>
          <w:kern w:val="0"/>
          <w:szCs w:val="21"/>
          <w:highlight w:val="none"/>
        </w:rPr>
        <w:t>GB 50217</w:t>
      </w:r>
      <w:r>
        <w:rPr>
          <w:rFonts w:hint="eastAsia" w:ascii="宋体" w:cs="宋体"/>
          <w:kern w:val="0"/>
          <w:szCs w:val="21"/>
          <w:highlight w:val="none"/>
        </w:rPr>
        <w:t>、</w:t>
      </w:r>
      <w:r>
        <w:rPr>
          <w:rFonts w:ascii="宋体" w:cs="宋体"/>
          <w:kern w:val="0"/>
          <w:szCs w:val="21"/>
          <w:highlight w:val="none"/>
        </w:rPr>
        <w:t>GB/T 51313</w:t>
      </w:r>
      <w:r>
        <w:rPr>
          <w:rFonts w:hint="eastAsia" w:ascii="宋体" w:cs="宋体"/>
          <w:kern w:val="0"/>
          <w:szCs w:val="21"/>
          <w:highlight w:val="none"/>
        </w:rPr>
        <w:t>的要求。</w:t>
      </w:r>
    </w:p>
    <w:p>
      <w:pPr>
        <w:pStyle w:val="127"/>
        <w:spacing w:before="312" w:after="312"/>
      </w:pPr>
      <w:bookmarkStart w:id="70" w:name="_Toc27904"/>
      <w:r>
        <w:rPr>
          <w:rFonts w:hint="eastAsia"/>
        </w:rPr>
        <w:t>5</w:t>
      </w:r>
      <w:r>
        <w:rPr>
          <w:rFonts w:hint="eastAsia"/>
          <w:lang w:val="en-US" w:eastAsia="zh-CN"/>
        </w:rPr>
        <w:t xml:space="preserve"> </w:t>
      </w:r>
      <w:r>
        <w:rPr>
          <w:rFonts w:hint="eastAsia"/>
          <w:highlight w:val="none"/>
        </w:rPr>
        <w:t>主要设计内容</w:t>
      </w:r>
      <w:bookmarkEnd w:id="70"/>
    </w:p>
    <w:p>
      <w:pPr>
        <w:pStyle w:val="127"/>
        <w:spacing w:before="156" w:beforeLines="50" w:after="156" w:afterLines="50"/>
        <w:rPr>
          <w:rFonts w:hint="eastAsia"/>
        </w:rPr>
      </w:pPr>
      <w:bookmarkStart w:id="71" w:name="_Toc24589"/>
      <w:r>
        <w:rPr>
          <w:rFonts w:hint="eastAsia"/>
        </w:rPr>
        <w:t>5.1 供电接线</w:t>
      </w:r>
      <w:bookmarkEnd w:id="71"/>
    </w:p>
    <w:p>
      <w:pPr>
        <w:autoSpaceDE w:val="0"/>
        <w:autoSpaceDN w:val="0"/>
        <w:adjustRightInd w:val="0"/>
        <w:jc w:val="left"/>
        <w:rPr>
          <w:rFonts w:hint="eastAsia" w:asciiTheme="minorEastAsia" w:hAnsiTheme="minorEastAsia" w:eastAsiaTheme="minorEastAsia"/>
        </w:rPr>
      </w:pPr>
      <w:r>
        <w:rPr>
          <w:rFonts w:hint="eastAsia" w:ascii="黑体" w:hAnsi="黑体" w:eastAsia="黑体"/>
        </w:rPr>
        <w:t>5.1.1</w:t>
      </w:r>
      <w:r>
        <w:rPr>
          <w:rFonts w:hint="eastAsia"/>
        </w:rPr>
        <w:t xml:space="preserve"> </w:t>
      </w:r>
      <w:r>
        <w:rPr>
          <w:rFonts w:hint="eastAsia" w:asciiTheme="minorEastAsia" w:hAnsiTheme="minorEastAsia" w:eastAsiaTheme="minorEastAsia"/>
        </w:rPr>
        <w:t>居住区充电设施以电能计量箱为供电单元，采用放射式接线，主接线示意图如图1。</w:t>
      </w:r>
    </w:p>
    <w:p>
      <w:pPr>
        <w:autoSpaceDE w:val="0"/>
        <w:autoSpaceDN w:val="0"/>
        <w:adjustRightInd w:val="0"/>
        <w:jc w:val="left"/>
        <w:rPr>
          <w:rFonts w:hint="eastAsia" w:asciiTheme="minorEastAsia" w:hAnsiTheme="minorEastAsia" w:eastAsiaTheme="minorEastAsia"/>
        </w:rPr>
      </w:pPr>
      <w:r>
        <w:rPr>
          <w:rFonts w:hint="eastAsia" w:ascii="黑体" w:hAnsi="黑体" w:eastAsia="黑体"/>
        </w:rPr>
        <w:t>5.1.2</w:t>
      </w:r>
      <w:r>
        <w:rPr>
          <w:rFonts w:hint="eastAsia"/>
        </w:rPr>
        <w:t xml:space="preserve"> </w:t>
      </w:r>
      <w:r>
        <w:rPr>
          <w:rFonts w:hint="eastAsia" w:asciiTheme="minorEastAsia" w:hAnsiTheme="minorEastAsia" w:eastAsiaTheme="minorEastAsia"/>
          <w:highlight w:val="none"/>
        </w:rPr>
        <w:t>低压配电区域可在计量表箱出线处划分为供电网络与充电网络，设计内容主要涉及供电网络部分，充电网络及充电桩本体部分应由充电桩安装方统筹建设。</w:t>
      </w:r>
    </w:p>
    <w:p>
      <w:pPr>
        <w:autoSpaceDE w:val="0"/>
        <w:autoSpaceDN w:val="0"/>
        <w:adjustRightInd w:val="0"/>
        <w:jc w:val="center"/>
        <w:rPr>
          <w:rFonts w:hint="eastAsia" w:asciiTheme="minorEastAsia" w:hAnsiTheme="minorEastAsia" w:eastAsiaTheme="minorEastAsia"/>
        </w:rPr>
      </w:pPr>
      <w:r>
        <w:rPr>
          <w:rFonts w:asciiTheme="minorEastAsia" w:hAnsiTheme="minorEastAsia" w:eastAsiaTheme="minorEastAsia"/>
        </w:rPr>
        <w:drawing>
          <wp:inline distT="0" distB="0" distL="0" distR="0">
            <wp:extent cx="5438775" cy="3099435"/>
            <wp:effectExtent l="0" t="0" r="9525" b="5715"/>
            <wp:docPr id="12" name="图片 12" descr="C:\Users\ADMINI~1\AppData\Local\Temp\WeChat Files\f7fb6024756c32a79e23d23147dd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f7fb6024756c32a79e23d23147dde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38775" cy="3099435"/>
                    </a:xfrm>
                    <a:prstGeom prst="rect">
                      <a:avLst/>
                    </a:prstGeom>
                    <a:noFill/>
                    <a:ln>
                      <a:noFill/>
                    </a:ln>
                  </pic:spPr>
                </pic:pic>
              </a:graphicData>
            </a:graphic>
          </wp:inline>
        </w:drawing>
      </w:r>
    </w:p>
    <w:p>
      <w:pPr>
        <w:autoSpaceDE w:val="0"/>
        <w:autoSpaceDN w:val="0"/>
        <w:adjustRightInd w:val="0"/>
        <w:jc w:val="center"/>
        <w:rPr>
          <w:rFonts w:ascii="黑体" w:hAnsi="黑体" w:eastAsia="黑体"/>
        </w:rPr>
      </w:pPr>
      <w:r>
        <w:rPr>
          <w:rFonts w:hint="eastAsia" w:ascii="黑体" w:hAnsi="黑体" w:eastAsia="黑体"/>
        </w:rPr>
        <w:t>图1 主接线示意图</w:t>
      </w:r>
    </w:p>
    <w:p>
      <w:pPr>
        <w:pStyle w:val="127"/>
        <w:spacing w:before="156" w:beforeLines="50" w:after="156" w:afterLines="50"/>
        <w:rPr>
          <w:rFonts w:hint="eastAsia"/>
        </w:rPr>
      </w:pPr>
      <w:bookmarkStart w:id="72" w:name="_Toc21372"/>
      <w:r>
        <w:rPr>
          <w:rFonts w:hint="eastAsia"/>
        </w:rPr>
        <w:t>5.2 电源容量</w:t>
      </w:r>
      <w:r>
        <w:rPr>
          <w:rFonts w:hint="eastAsia"/>
          <w:lang w:eastAsia="zh-CN"/>
        </w:rPr>
        <w:t>配置</w:t>
      </w:r>
      <w:r>
        <w:rPr>
          <w:rFonts w:hint="eastAsia"/>
        </w:rPr>
        <w:t>及变压器选型</w:t>
      </w:r>
      <w:bookmarkEnd w:id="72"/>
    </w:p>
    <w:p>
      <w:pPr>
        <w:autoSpaceDE w:val="0"/>
        <w:autoSpaceDN w:val="0"/>
        <w:adjustRightInd w:val="0"/>
        <w:spacing w:before="156" w:beforeLines="50" w:after="156" w:afterLines="50"/>
        <w:jc w:val="left"/>
        <w:rPr>
          <w:rFonts w:ascii="黑体" w:hAnsi="黑体" w:eastAsia="黑体" w:cs="黑体"/>
          <w:kern w:val="0"/>
          <w:szCs w:val="21"/>
        </w:rPr>
      </w:pPr>
      <w:r>
        <w:rPr>
          <w:rFonts w:hint="eastAsia" w:ascii="黑体" w:hAnsi="黑体" w:eastAsia="黑体" w:cs="黑体"/>
          <w:kern w:val="0"/>
          <w:szCs w:val="21"/>
        </w:rPr>
        <w:t>5</w:t>
      </w:r>
      <w:r>
        <w:rPr>
          <w:rFonts w:ascii="黑体" w:hAnsi="黑体" w:eastAsia="黑体" w:cs="黑体"/>
          <w:kern w:val="0"/>
          <w:szCs w:val="21"/>
        </w:rPr>
        <w:t xml:space="preserve">.2.1 </w:t>
      </w:r>
      <w:r>
        <w:rPr>
          <w:rFonts w:hint="eastAsia" w:ascii="黑体" w:hAnsi="黑体" w:eastAsia="黑体" w:cs="宋体"/>
          <w:kern w:val="0"/>
          <w:szCs w:val="21"/>
        </w:rPr>
        <w:t>容量配置</w:t>
      </w:r>
    </w:p>
    <w:p>
      <w:pPr>
        <w:pStyle w:val="73"/>
        <w:ind w:firstLine="0" w:firstLineChars="0"/>
        <w:rPr>
          <w:rFonts w:asciiTheme="minorEastAsia" w:hAnsiTheme="minorEastAsia" w:eastAsiaTheme="minorEastAsia"/>
          <w:kern w:val="2"/>
          <w:szCs w:val="24"/>
        </w:rPr>
      </w:pPr>
      <w:r>
        <w:rPr>
          <w:rFonts w:hint="eastAsia" w:ascii="黑体" w:hAnsi="黑体" w:eastAsia="黑体" w:cs="黑体"/>
          <w:szCs w:val="21"/>
        </w:rPr>
        <w:t>5</w:t>
      </w:r>
      <w:r>
        <w:rPr>
          <w:rFonts w:ascii="黑体" w:hAnsi="黑体" w:eastAsia="黑体" w:cs="黑体"/>
          <w:szCs w:val="21"/>
        </w:rPr>
        <w:t>.2.</w:t>
      </w:r>
      <w:r>
        <w:rPr>
          <w:rFonts w:hint="eastAsia" w:ascii="黑体" w:hAnsi="黑体" w:eastAsia="黑体" w:cs="黑体"/>
          <w:szCs w:val="21"/>
        </w:rPr>
        <w:t>1.1</w:t>
      </w:r>
      <w:r>
        <w:rPr>
          <w:rFonts w:hint="eastAsia" w:ascii="黑体" w:hAnsi="黑体" w:eastAsia="黑体" w:cs="黑体"/>
          <w:szCs w:val="21"/>
          <w:highlight w:val="none"/>
        </w:rPr>
        <w:t xml:space="preserve"> </w:t>
      </w:r>
      <w:r>
        <w:rPr>
          <w:rFonts w:hint="eastAsia" w:asciiTheme="minorEastAsia" w:hAnsiTheme="minorEastAsia" w:eastAsiaTheme="minorEastAsia"/>
          <w:kern w:val="2"/>
          <w:szCs w:val="24"/>
          <w:highlight w:val="none"/>
          <w:lang w:eastAsia="zh-CN"/>
        </w:rPr>
        <w:t>按照</w:t>
      </w:r>
      <w:r>
        <w:rPr>
          <w:rFonts w:hint="eastAsia" w:asciiTheme="minorEastAsia" w:hAnsiTheme="minorEastAsia" w:eastAsiaTheme="minorEastAsia"/>
          <w:kern w:val="2"/>
          <w:szCs w:val="24"/>
          <w:highlight w:val="none"/>
        </w:rPr>
        <w:t>单个固定停车位充电桩额定电流不超过32A</w:t>
      </w:r>
      <w:r>
        <w:rPr>
          <w:rFonts w:hint="eastAsia" w:asciiTheme="minorEastAsia" w:hAnsiTheme="minorEastAsia" w:eastAsiaTheme="minorEastAsia"/>
          <w:kern w:val="2"/>
          <w:szCs w:val="24"/>
          <w:highlight w:val="none"/>
          <w:lang w:eastAsia="zh-CN"/>
        </w:rPr>
        <w:t>配置电源容量</w:t>
      </w:r>
      <w:r>
        <w:rPr>
          <w:rFonts w:hint="eastAsia" w:asciiTheme="minorEastAsia" w:hAnsiTheme="minorEastAsia" w:eastAsiaTheme="minorEastAsia"/>
          <w:kern w:val="2"/>
          <w:szCs w:val="24"/>
        </w:rPr>
        <w:t>，配置容量计算方法见式(1)，新建居住区应按固定车位100%配置，既有小区改造规模应结合小区充电桩报装情况及当地电动车渗透速度灵活配置。</w:t>
      </w:r>
    </w:p>
    <w:p>
      <w:pPr>
        <w:pStyle w:val="127"/>
        <w:keepNext w:val="0"/>
        <w:keepLines w:val="0"/>
        <w:pageBreakBefore w:val="0"/>
        <w:widowControl/>
        <w:kinsoku/>
        <w:wordWrap/>
        <w:overflowPunct/>
        <w:topLinePunct w:val="0"/>
        <w:autoSpaceDE/>
        <w:autoSpaceDN/>
        <w:bidi w:val="0"/>
        <w:adjustRightInd/>
        <w:snapToGrid/>
        <w:spacing w:before="156" w:beforeLines="50" w:after="156" w:afterLines="50"/>
        <w:jc w:val="right"/>
        <w:textAlignment w:val="auto"/>
        <w:outlineLvl w:val="9"/>
        <w:rPr>
          <w:rFonts w:hint="eastAsia" w:asciiTheme="minorEastAsia" w:hAnsiTheme="minorEastAsia" w:eastAsiaTheme="minorEastAsia"/>
        </w:rPr>
      </w:pPr>
      <w:r>
        <w:rPr>
          <w:rFonts w:hint="eastAsia" w:asciiTheme="minorEastAsia" w:hAnsiTheme="minorEastAsia" w:eastAsiaTheme="minorEastAsia"/>
        </w:rPr>
        <w:t xml:space="preserve">                                  </w:t>
      </w:r>
      <m:oMath>
        <w:bookmarkStart w:id="73" w:name="_Toc22169"/>
        <m:r>
          <m:rPr>
            <m:nor/>
            <m:sty m:val="p"/>
          </m:rPr>
          <w:rPr>
            <w:rFonts w:asciiTheme="minorEastAsia" w:hAnsiTheme="minorEastAsia" w:eastAsiaTheme="minorEastAsia"/>
            <w:b w:val="0"/>
            <w:i w:val="0"/>
          </w:rPr>
          <m:t>S=</m:t>
        </m:r>
        <m:f>
          <m:fPr>
            <m:ctrlPr>
              <w:rPr>
                <w:rFonts w:ascii="Cambria Math" w:hAnsi="Cambria Math" w:eastAsiaTheme="minorEastAsia"/>
                <w:i/>
              </w:rPr>
            </m:ctrlPr>
          </m:fPr>
          <m:num>
            <m:r>
              <m:rPr>
                <m:nor/>
                <m:sty m:val="p"/>
              </m:rPr>
              <w:rPr>
                <w:rFonts w:asciiTheme="minorEastAsia" w:hAnsiTheme="minorEastAsia" w:eastAsiaTheme="minorEastAsia"/>
                <w:b w:val="0"/>
                <w:i w:val="0"/>
              </w:rPr>
              <m:t>K×P</m:t>
            </m:r>
            <m:ctrlPr>
              <w:rPr>
                <w:rFonts w:ascii="Cambria Math" w:hAnsi="Cambria Math" w:eastAsiaTheme="minorEastAsia"/>
              </w:rPr>
            </m:ctrlPr>
          </m:num>
          <m:den>
            <m:r>
              <m:rPr>
                <m:nor/>
                <m:sty m:val="p"/>
              </m:rPr>
              <w:rPr>
                <w:rFonts w:ascii="Cambria Math" w:hAnsi="Cambria Math" w:eastAsiaTheme="minorEastAsia"/>
                <w:b w:val="0"/>
                <w:i w:val="0"/>
              </w:rPr>
              <m:t>β</m:t>
            </m:r>
            <m:r>
              <m:rPr>
                <m:nor/>
                <m:sty m:val="p"/>
              </m:rPr>
              <w:rPr>
                <w:rFonts w:asciiTheme="minorEastAsia" w:hAnsiTheme="minorEastAsia" w:eastAsiaTheme="minorEastAsia"/>
                <w:b w:val="0"/>
                <w:i w:val="0"/>
              </w:rPr>
              <m:t>×</m:t>
            </m:r>
            <m:func>
              <m:funcPr>
                <m:ctrlPr>
                  <w:rPr>
                    <w:rFonts w:ascii="Cambria Math" w:hAnsi="Cambria Math" w:eastAsiaTheme="minorEastAsia"/>
                    <w:i/>
                  </w:rPr>
                </m:ctrlPr>
              </m:funcPr>
              <m:fName>
                <m:r>
                  <m:rPr>
                    <m:nor/>
                    <m:sty m:val="p"/>
                  </m:rPr>
                  <w:rPr>
                    <w:rFonts w:asciiTheme="minorEastAsia" w:hAnsiTheme="minorEastAsia" w:eastAsiaTheme="minorEastAsia"/>
                    <w:b w:val="0"/>
                    <w:i w:val="0"/>
                  </w:rPr>
                  <m:t>cos</m:t>
                </m:r>
                <m:ctrlPr>
                  <w:rPr>
                    <w:rFonts w:ascii="Cambria Math" w:hAnsi="Cambria Math" w:eastAsiaTheme="minorEastAsia"/>
                  </w:rPr>
                </m:ctrlPr>
              </m:fName>
              <m:e>
                <m:r>
                  <m:rPr>
                    <m:nor/>
                    <m:sty m:val="p"/>
                  </m:rPr>
                  <w:rPr>
                    <w:rFonts w:hint="eastAsia" w:ascii="MS Mincho" w:hAnsi="MS Mincho" w:eastAsia="MS Mincho" w:cs="MS Mincho"/>
                    <w:b w:val="0"/>
                    <w:i w:val="0"/>
                  </w:rPr>
                  <m:t>∅</m:t>
                </m:r>
                <m:ctrlPr>
                  <w:rPr>
                    <w:rFonts w:ascii="Cambria Math" w:hAnsi="Cambria Math" w:eastAsiaTheme="minorEastAsia"/>
                    <w:i/>
                  </w:rPr>
                </m:ctrlPr>
              </m:e>
            </m:func>
            <m:r>
              <m:rPr>
                <m:nor/>
                <m:sty m:val="p"/>
              </m:rPr>
              <w:rPr>
                <w:rFonts w:asciiTheme="minorEastAsia" w:hAnsiTheme="minorEastAsia" w:eastAsiaTheme="minorEastAsia"/>
                <w:b w:val="0"/>
                <w:i w:val="0"/>
              </w:rPr>
              <m:t>×</m:t>
            </m:r>
            <m:r>
              <m:rPr>
                <m:nor/>
                <m:sty m:val="p"/>
              </m:rPr>
              <w:rPr>
                <w:rFonts w:hint="eastAsia" w:asciiTheme="minorEastAsia" w:hAnsiTheme="minorEastAsia" w:eastAsiaTheme="minorEastAsia"/>
                <w:b w:val="0"/>
                <w:i w:val="0"/>
              </w:rPr>
              <m:t>η</m:t>
            </m:r>
            <m:ctrlPr>
              <w:rPr>
                <w:rFonts w:ascii="Cambria Math" w:hAnsi="Cambria Math" w:eastAsiaTheme="minorEastAsia"/>
                <w:i/>
              </w:rPr>
            </m:ctrlPr>
          </m:den>
        </m:f>
      </m:oMath>
      <w:r>
        <w:rPr>
          <w:rFonts w:hint="eastAsia" w:asciiTheme="minorEastAsia" w:hAnsiTheme="minorEastAsia" w:eastAsiaTheme="minorEastAsia"/>
        </w:rPr>
        <w:t xml:space="preserve">                           </w:t>
      </w:r>
      <w:r>
        <w:rPr>
          <w:rFonts w:asciiTheme="minorEastAsia" w:hAnsiTheme="minorEastAsia" w:eastAsiaTheme="minorEastAsia"/>
        </w:rPr>
        <w:t>………</w:t>
      </w:r>
      <w:r>
        <w:rPr>
          <w:rFonts w:hint="eastAsia" w:asciiTheme="minorEastAsia" w:hAnsiTheme="minorEastAsia" w:eastAsiaTheme="minorEastAsia"/>
        </w:rPr>
        <w:t>(1)</w:t>
      </w:r>
      <w:bookmarkEnd w:id="73"/>
    </w:p>
    <w:p>
      <w:pPr>
        <w:pStyle w:val="73"/>
        <w:ind w:firstLine="420"/>
        <w:rPr>
          <w:rFonts w:hint="eastAsia" w:asciiTheme="minorEastAsia" w:hAnsiTheme="minorEastAsia" w:eastAsiaTheme="minorEastAsia"/>
        </w:rPr>
      </w:pPr>
      <w:r>
        <w:rPr>
          <w:rFonts w:hint="eastAsia" w:asciiTheme="minorEastAsia" w:hAnsiTheme="minorEastAsia" w:eastAsiaTheme="minorEastAsia"/>
        </w:rPr>
        <w:t>其中：</w:t>
      </w:r>
    </w:p>
    <w:p>
      <w:pPr>
        <w:pStyle w:val="73"/>
        <w:ind w:firstLine="420"/>
        <w:rPr>
          <w:rFonts w:asciiTheme="minorEastAsia" w:hAnsiTheme="minorEastAsia" w:eastAsiaTheme="minorEastAsia"/>
          <w:kern w:val="2"/>
          <w:szCs w:val="24"/>
        </w:rPr>
      </w:pPr>
      <m:oMath>
        <m:r>
          <m:rPr>
            <m:nor/>
            <m:sty m:val="p"/>
          </m:rPr>
          <w:rPr>
            <w:rFonts w:asciiTheme="minorEastAsia" w:hAnsiTheme="minorEastAsia" w:eastAsiaTheme="minorEastAsia"/>
            <w:b w:val="0"/>
            <w:i w:val="0"/>
          </w:rPr>
          <m:t>S</m:t>
        </m:r>
      </m:oMath>
      <w:r>
        <w:rPr>
          <w:rFonts w:asciiTheme="minorEastAsia" w:hAnsiTheme="minorEastAsia" w:eastAsiaTheme="minorEastAsia"/>
          <w:kern w:val="2"/>
          <w:szCs w:val="24"/>
        </w:rPr>
        <w:t>-</w:t>
      </w:r>
      <w:r>
        <w:rPr>
          <w:rFonts w:hint="eastAsia" w:asciiTheme="minorEastAsia" w:hAnsiTheme="minorEastAsia" w:eastAsiaTheme="minorEastAsia"/>
          <w:kern w:val="2"/>
          <w:szCs w:val="24"/>
        </w:rPr>
        <w:t>充电桩配置容量</w:t>
      </w:r>
      <w:r>
        <w:rPr>
          <w:rFonts w:asciiTheme="minorEastAsia" w:hAnsiTheme="minorEastAsia" w:eastAsiaTheme="minorEastAsia"/>
          <w:kern w:val="2"/>
          <w:szCs w:val="24"/>
        </w:rPr>
        <w:t>(kVA)</w:t>
      </w:r>
      <w:r>
        <w:rPr>
          <w:rFonts w:hint="eastAsia" w:asciiTheme="minorEastAsia" w:hAnsiTheme="minorEastAsia" w:eastAsiaTheme="minorEastAsia"/>
          <w:kern w:val="2"/>
          <w:szCs w:val="24"/>
        </w:rPr>
        <w:t>；</w:t>
      </w:r>
    </w:p>
    <w:p>
      <w:pPr>
        <w:pStyle w:val="73"/>
        <w:ind w:firstLine="420"/>
        <w:rPr>
          <w:rFonts w:asciiTheme="minorEastAsia" w:hAnsiTheme="minorEastAsia" w:eastAsiaTheme="minorEastAsia"/>
          <w:kern w:val="2"/>
          <w:szCs w:val="24"/>
        </w:rPr>
      </w:pPr>
      <w:r>
        <w:rPr>
          <w:rFonts w:hint="eastAsia" w:asciiTheme="minorEastAsia" w:hAnsiTheme="minorEastAsia" w:eastAsiaTheme="minorEastAsia"/>
          <w:kern w:val="2"/>
          <w:szCs w:val="24"/>
        </w:rPr>
        <w:t xml:space="preserve">K </w:t>
      </w:r>
      <w:r>
        <w:rPr>
          <w:rFonts w:asciiTheme="minorEastAsia" w:hAnsiTheme="minorEastAsia" w:eastAsiaTheme="minorEastAsia"/>
          <w:kern w:val="2"/>
          <w:szCs w:val="24"/>
        </w:rPr>
        <w:t>-</w:t>
      </w:r>
      <w:r>
        <w:rPr>
          <w:rFonts w:hint="eastAsia" w:asciiTheme="minorEastAsia" w:hAnsiTheme="minorEastAsia" w:eastAsiaTheme="minorEastAsia"/>
          <w:kern w:val="2"/>
          <w:szCs w:val="24"/>
        </w:rPr>
        <w:t>充电设施同时率，需根据实际情况选定，居民个人充电桩同时率可取</w:t>
      </w:r>
      <w:r>
        <w:rPr>
          <w:rFonts w:asciiTheme="minorEastAsia" w:hAnsiTheme="minorEastAsia" w:eastAsiaTheme="minorEastAsia"/>
          <w:kern w:val="2"/>
          <w:szCs w:val="24"/>
        </w:rPr>
        <w:t>0.3</w:t>
      </w:r>
      <w:r>
        <w:rPr>
          <w:rFonts w:hint="eastAsia" w:asciiTheme="minorEastAsia" w:hAnsiTheme="minorEastAsia" w:eastAsiaTheme="minorEastAsia"/>
          <w:kern w:val="2"/>
          <w:szCs w:val="24"/>
        </w:rPr>
        <w:t>，有序充电桩可取</w:t>
      </w:r>
      <w:r>
        <w:rPr>
          <w:rFonts w:asciiTheme="minorEastAsia" w:hAnsiTheme="minorEastAsia" w:eastAsiaTheme="minorEastAsia"/>
          <w:kern w:val="2"/>
          <w:szCs w:val="24"/>
        </w:rPr>
        <w:t>0.2</w:t>
      </w:r>
      <w:r>
        <w:rPr>
          <w:rFonts w:hint="eastAsia" w:asciiTheme="minorEastAsia" w:hAnsiTheme="minorEastAsia" w:eastAsiaTheme="minorEastAsia"/>
          <w:kern w:val="2"/>
          <w:szCs w:val="24"/>
        </w:rPr>
        <w:t>，共享充电桩同可取</w:t>
      </w:r>
      <w:r>
        <w:rPr>
          <w:rFonts w:asciiTheme="minorEastAsia" w:hAnsiTheme="minorEastAsia" w:eastAsiaTheme="minorEastAsia"/>
          <w:kern w:val="2"/>
          <w:szCs w:val="24"/>
        </w:rPr>
        <w:t>0.4</w:t>
      </w:r>
      <w:r>
        <w:rPr>
          <w:rFonts w:hint="eastAsia" w:asciiTheme="minorEastAsia" w:hAnsiTheme="minorEastAsia" w:eastAsiaTheme="minorEastAsia"/>
          <w:kern w:val="2"/>
          <w:szCs w:val="24"/>
        </w:rPr>
        <w:t>；</w:t>
      </w:r>
    </w:p>
    <w:p>
      <w:pPr>
        <w:pStyle w:val="73"/>
        <w:ind w:left="420" w:firstLine="0" w:firstLineChars="0"/>
        <w:rPr>
          <w:rFonts w:asciiTheme="minorEastAsia" w:hAnsiTheme="minorEastAsia" w:eastAsiaTheme="minorEastAsia"/>
          <w:kern w:val="2"/>
          <w:szCs w:val="24"/>
        </w:rPr>
      </w:pPr>
      <w:r>
        <w:rPr>
          <w:rFonts w:hint="eastAsia" w:asciiTheme="minorEastAsia" w:hAnsiTheme="minorEastAsia" w:eastAsiaTheme="minorEastAsia"/>
          <w:kern w:val="2"/>
          <w:szCs w:val="24"/>
        </w:rPr>
        <w:t>P</w:t>
      </w:r>
      <w:r>
        <w:rPr>
          <w:rFonts w:asciiTheme="minorEastAsia" w:hAnsiTheme="minorEastAsia" w:eastAsiaTheme="minorEastAsia"/>
          <w:kern w:val="2"/>
          <w:szCs w:val="24"/>
        </w:rPr>
        <w:t>-</w:t>
      </w:r>
      <w:r>
        <w:rPr>
          <w:rFonts w:hint="eastAsia" w:asciiTheme="minorEastAsia" w:hAnsiTheme="minorEastAsia" w:eastAsiaTheme="minorEastAsia"/>
          <w:kern w:val="2"/>
          <w:szCs w:val="24"/>
        </w:rPr>
        <w:t>充电设施总功率</w:t>
      </w:r>
      <w:r>
        <w:rPr>
          <w:rFonts w:asciiTheme="minorEastAsia" w:hAnsiTheme="minorEastAsia" w:eastAsiaTheme="minorEastAsia"/>
          <w:kern w:val="2"/>
          <w:szCs w:val="24"/>
        </w:rPr>
        <w:t>(kW)</w:t>
      </w:r>
      <w:r>
        <w:rPr>
          <w:rFonts w:hint="eastAsia" w:asciiTheme="minorEastAsia" w:hAnsiTheme="minorEastAsia" w:eastAsiaTheme="minorEastAsia"/>
          <w:kern w:val="2"/>
          <w:szCs w:val="24"/>
        </w:rPr>
        <w:t>；</w:t>
      </w:r>
    </w:p>
    <w:p>
      <w:pPr>
        <w:pStyle w:val="73"/>
        <w:ind w:firstLine="420"/>
        <w:rPr>
          <w:rFonts w:asciiTheme="minorEastAsia" w:hAnsiTheme="minorEastAsia" w:eastAsiaTheme="minorEastAsia"/>
          <w:kern w:val="2"/>
          <w:szCs w:val="24"/>
        </w:rPr>
      </w:pPr>
      <m:oMath>
        <m:r>
          <m:rPr>
            <m:sty m:val="p"/>
          </m:rPr>
          <w:rPr>
            <w:rFonts w:ascii="Cambria Math" w:hAnsi="Cambria Math" w:eastAsiaTheme="minorEastAsia"/>
            <w:kern w:val="2"/>
            <w:szCs w:val="24"/>
          </w:rPr>
          <m:t>β</m:t>
        </m:r>
      </m:oMath>
      <w:r>
        <w:rPr>
          <w:rFonts w:asciiTheme="minorEastAsia" w:hAnsiTheme="minorEastAsia" w:eastAsiaTheme="minorEastAsia"/>
          <w:kern w:val="2"/>
          <w:szCs w:val="24"/>
        </w:rPr>
        <w:t>-</w:t>
      </w:r>
      <w:r>
        <w:rPr>
          <w:rFonts w:hint="eastAsia" w:asciiTheme="minorEastAsia" w:hAnsiTheme="minorEastAsia" w:eastAsiaTheme="minorEastAsia"/>
          <w:kern w:val="2"/>
          <w:szCs w:val="24"/>
        </w:rPr>
        <w:t>变压器负载率，根据相关规范，建议取值不大于</w:t>
      </w:r>
      <w:r>
        <w:rPr>
          <w:rFonts w:asciiTheme="minorEastAsia" w:hAnsiTheme="minorEastAsia" w:eastAsiaTheme="minorEastAsia"/>
          <w:kern w:val="2"/>
          <w:szCs w:val="24"/>
        </w:rPr>
        <w:t>0.85</w:t>
      </w:r>
      <w:r>
        <w:rPr>
          <w:rFonts w:hint="eastAsia" w:asciiTheme="minorEastAsia" w:hAnsiTheme="minorEastAsia" w:eastAsiaTheme="minorEastAsia"/>
          <w:kern w:val="2"/>
          <w:szCs w:val="24"/>
        </w:rPr>
        <w:t>；</w:t>
      </w:r>
    </w:p>
    <w:p>
      <w:pPr>
        <w:pStyle w:val="73"/>
        <w:ind w:firstLine="420"/>
        <w:rPr>
          <w:rFonts w:asciiTheme="minorEastAsia" w:hAnsiTheme="minorEastAsia" w:eastAsiaTheme="minorEastAsia"/>
          <w:kern w:val="2"/>
          <w:szCs w:val="24"/>
        </w:rPr>
      </w:pPr>
      <m:oMath>
        <m:func>
          <m:funcPr>
            <m:ctrlPr>
              <w:rPr>
                <w:rFonts w:ascii="Cambria Math" w:hAnsi="Cambria Math" w:eastAsiaTheme="minorEastAsia"/>
                <w:i/>
              </w:rPr>
            </m:ctrlPr>
          </m:funcPr>
          <m:fName>
            <m:r>
              <m:rPr>
                <m:sty m:val="p"/>
              </m:rPr>
              <w:rPr>
                <w:rFonts w:ascii="Cambria Math" w:hAnsi="Cambria Math" w:eastAsiaTheme="minorEastAsia"/>
              </w:rPr>
              <m:t>cos</m:t>
            </m:r>
            <m:ctrlPr>
              <w:rPr>
                <w:rFonts w:ascii="Cambria Math" w:hAnsi="Cambria Math" w:eastAsiaTheme="minorEastAsia"/>
                <w:i/>
              </w:rPr>
            </m:ctrlPr>
          </m:fName>
          <m:e>
            <m:r>
              <m:rPr/>
              <w:rPr>
                <w:rFonts w:ascii="Cambria Math" w:hAnsi="Cambria Math" w:eastAsiaTheme="minorEastAsia"/>
              </w:rPr>
              <m:t>∅</m:t>
            </m:r>
            <m:ctrlPr>
              <w:rPr>
                <w:rFonts w:ascii="Cambria Math" w:hAnsi="Cambria Math" w:eastAsiaTheme="minorEastAsia"/>
                <w:i/>
              </w:rPr>
            </m:ctrlPr>
          </m:e>
        </m:func>
      </m:oMath>
      <w:r>
        <w:rPr>
          <w:rFonts w:asciiTheme="minorEastAsia" w:hAnsiTheme="minorEastAsia" w:eastAsiaTheme="minorEastAsia"/>
          <w:kern w:val="2"/>
          <w:szCs w:val="24"/>
        </w:rPr>
        <w:t>-</w:t>
      </w:r>
      <w:r>
        <w:rPr>
          <w:rFonts w:hint="eastAsia" w:asciiTheme="minorEastAsia" w:hAnsiTheme="minorEastAsia" w:eastAsiaTheme="minorEastAsia"/>
          <w:kern w:val="2"/>
          <w:szCs w:val="24"/>
        </w:rPr>
        <w:t>功率因数，根据规范要求，应达到</w:t>
      </w:r>
      <w:r>
        <w:rPr>
          <w:rFonts w:asciiTheme="minorEastAsia" w:hAnsiTheme="minorEastAsia" w:eastAsiaTheme="minorEastAsia"/>
          <w:kern w:val="2"/>
          <w:szCs w:val="24"/>
        </w:rPr>
        <w:t xml:space="preserve">0.9 </w:t>
      </w:r>
      <w:r>
        <w:rPr>
          <w:rFonts w:hint="eastAsia" w:asciiTheme="minorEastAsia" w:hAnsiTheme="minorEastAsia" w:eastAsiaTheme="minorEastAsia"/>
          <w:kern w:val="2"/>
          <w:szCs w:val="24"/>
        </w:rPr>
        <w:t>以上，建议取</w:t>
      </w:r>
      <w:r>
        <w:rPr>
          <w:rFonts w:asciiTheme="minorEastAsia" w:hAnsiTheme="minorEastAsia" w:eastAsiaTheme="minorEastAsia"/>
          <w:kern w:val="2"/>
          <w:szCs w:val="24"/>
        </w:rPr>
        <w:t>0.92</w:t>
      </w:r>
      <w:r>
        <w:rPr>
          <w:rFonts w:hint="eastAsia" w:asciiTheme="minorEastAsia" w:hAnsiTheme="minorEastAsia" w:eastAsiaTheme="minorEastAsia"/>
          <w:kern w:val="2"/>
          <w:szCs w:val="24"/>
        </w:rPr>
        <w:t>；</w:t>
      </w:r>
    </w:p>
    <w:p>
      <w:pPr>
        <w:pStyle w:val="73"/>
        <w:ind w:firstLine="420"/>
        <w:rPr>
          <w:rFonts w:hint="eastAsia" w:asciiTheme="minorEastAsia" w:hAnsiTheme="minorEastAsia" w:eastAsiaTheme="minorEastAsia"/>
          <w:kern w:val="2"/>
          <w:szCs w:val="24"/>
          <w:lang w:val="en-US" w:eastAsia="zh-CN"/>
        </w:rPr>
      </w:pPr>
      <w:r>
        <w:rPr>
          <w:rFonts w:hint="eastAsia" w:asciiTheme="minorEastAsia" w:hAnsiTheme="minorEastAsia" w:eastAsiaTheme="minorEastAsia"/>
          <w:kern w:val="2"/>
          <w:szCs w:val="24"/>
        </w:rPr>
        <w:t>η</w:t>
      </w:r>
      <w:r>
        <w:rPr>
          <w:rFonts w:asciiTheme="minorEastAsia" w:hAnsiTheme="minorEastAsia" w:eastAsiaTheme="minorEastAsia"/>
          <w:kern w:val="2"/>
          <w:szCs w:val="24"/>
        </w:rPr>
        <w:t>-</w:t>
      </w:r>
      <w:r>
        <w:rPr>
          <w:rFonts w:hint="eastAsia" w:asciiTheme="minorEastAsia" w:hAnsiTheme="minorEastAsia" w:eastAsiaTheme="minorEastAsia"/>
          <w:kern w:val="2"/>
          <w:szCs w:val="24"/>
        </w:rPr>
        <w:t>充电机工作效率，建议取</w:t>
      </w:r>
      <w:r>
        <w:rPr>
          <w:rFonts w:asciiTheme="minorEastAsia" w:hAnsiTheme="minorEastAsia" w:eastAsiaTheme="minorEastAsia"/>
          <w:kern w:val="2"/>
          <w:szCs w:val="24"/>
        </w:rPr>
        <w:t>0.9</w:t>
      </w:r>
      <w:r>
        <w:rPr>
          <w:rFonts w:hint="eastAsia" w:asciiTheme="minorEastAsia" w:hAnsiTheme="minorEastAsia" w:eastAsiaTheme="minorEastAsia"/>
          <w:kern w:val="2"/>
          <w:szCs w:val="24"/>
          <w:lang w:eastAsia="zh-CN"/>
        </w:rPr>
        <w:t>。</w:t>
      </w:r>
    </w:p>
    <w:p>
      <w:pPr>
        <w:autoSpaceDE w:val="0"/>
        <w:autoSpaceDN w:val="0"/>
        <w:adjustRightInd w:val="0"/>
        <w:jc w:val="left"/>
        <w:rPr>
          <w:rFonts w:asciiTheme="minorEastAsia" w:hAnsiTheme="minorEastAsia" w:eastAsiaTheme="minorEastAsia"/>
        </w:rPr>
      </w:pPr>
      <w:r>
        <w:rPr>
          <w:rFonts w:hint="eastAsia" w:ascii="黑体" w:hAnsi="黑体" w:eastAsia="黑体" w:cs="黑体"/>
          <w:kern w:val="0"/>
          <w:szCs w:val="21"/>
        </w:rPr>
        <w:t>5</w:t>
      </w:r>
      <w:r>
        <w:rPr>
          <w:rFonts w:ascii="黑体" w:hAnsi="黑体" w:eastAsia="黑体" w:cs="黑体"/>
          <w:kern w:val="0"/>
          <w:szCs w:val="21"/>
        </w:rPr>
        <w:t>.2.</w:t>
      </w:r>
      <w:r>
        <w:rPr>
          <w:rFonts w:hint="eastAsia" w:ascii="黑体" w:hAnsi="黑体" w:eastAsia="黑体" w:cs="黑体"/>
          <w:szCs w:val="21"/>
        </w:rPr>
        <w:t xml:space="preserve">1.2 </w:t>
      </w:r>
      <w:r>
        <w:rPr>
          <w:rFonts w:hint="eastAsia" w:asciiTheme="minorEastAsia" w:hAnsiTheme="minorEastAsia" w:eastAsiaTheme="minorEastAsia"/>
        </w:rPr>
        <w:t>既有居住区进行</w:t>
      </w:r>
      <w:r>
        <w:rPr>
          <w:rFonts w:hint="eastAsia" w:asciiTheme="minorEastAsia" w:hAnsiTheme="minorEastAsia" w:eastAsiaTheme="minorEastAsia"/>
          <w:highlight w:val="none"/>
        </w:rPr>
        <w:t>充电基础设施改</w:t>
      </w:r>
      <w:r>
        <w:rPr>
          <w:rFonts w:hint="eastAsia" w:asciiTheme="minorEastAsia" w:hAnsiTheme="minorEastAsia" w:eastAsiaTheme="minorEastAsia"/>
        </w:rPr>
        <w:t>造时，充电桩负荷优先由居住区已建配电变压器供电，新接入容量不应超过配电变压器可开放容量，可开放容量计算方法参见附录</w:t>
      </w:r>
      <w:r>
        <w:rPr>
          <w:rFonts w:asciiTheme="minorEastAsia" w:hAnsiTheme="minorEastAsia" w:eastAsiaTheme="minorEastAsia"/>
        </w:rPr>
        <w:t>A</w:t>
      </w:r>
      <w:r>
        <w:rPr>
          <w:rFonts w:hint="eastAsia" w:asciiTheme="minorEastAsia" w:hAnsiTheme="minorEastAsia" w:eastAsiaTheme="minorEastAsia"/>
        </w:rPr>
        <w:t>。</w:t>
      </w:r>
    </w:p>
    <w:p>
      <w:pPr>
        <w:autoSpaceDE w:val="0"/>
        <w:autoSpaceDN w:val="0"/>
        <w:adjustRightInd w:val="0"/>
        <w:jc w:val="left"/>
        <w:rPr>
          <w:rFonts w:hint="eastAsia" w:asciiTheme="minorEastAsia" w:hAnsiTheme="minorEastAsia" w:eastAsiaTheme="minorEastAsia"/>
        </w:rPr>
      </w:pPr>
      <w:r>
        <w:rPr>
          <w:rFonts w:hint="eastAsia" w:ascii="黑体" w:hAnsi="黑体" w:eastAsia="黑体" w:cs="黑体"/>
          <w:kern w:val="0"/>
          <w:szCs w:val="21"/>
        </w:rPr>
        <w:t>5</w:t>
      </w:r>
      <w:r>
        <w:rPr>
          <w:rFonts w:ascii="黑体" w:hAnsi="黑体" w:eastAsia="黑体" w:cs="黑体"/>
          <w:kern w:val="0"/>
          <w:szCs w:val="21"/>
        </w:rPr>
        <w:t>.2.</w:t>
      </w:r>
      <w:r>
        <w:rPr>
          <w:rFonts w:hint="eastAsia" w:ascii="黑体" w:hAnsi="黑体" w:eastAsia="黑体" w:cs="黑体"/>
          <w:szCs w:val="21"/>
        </w:rPr>
        <w:t xml:space="preserve">1.3 </w:t>
      </w:r>
      <w:r>
        <w:rPr>
          <w:rFonts w:hint="eastAsia" w:asciiTheme="minorEastAsia" w:hAnsiTheme="minorEastAsia" w:eastAsiaTheme="minorEastAsia"/>
        </w:rPr>
        <w:t>新接入充电桩容量超过已建变压器可开放容量时，应根据实际情况进行低压配电系统改造，主要包括新设独立变压器、增容改造等方式。</w:t>
      </w:r>
    </w:p>
    <w:p>
      <w:pPr>
        <w:autoSpaceDE w:val="0"/>
        <w:autoSpaceDN w:val="0"/>
        <w:adjustRightInd w:val="0"/>
        <w:spacing w:before="156" w:beforeLines="50" w:after="156" w:afterLines="50"/>
        <w:jc w:val="left"/>
        <w:rPr>
          <w:rFonts w:hint="eastAsia" w:ascii="黑体" w:hAnsi="黑体" w:eastAsia="黑体" w:cs="黑体"/>
          <w:kern w:val="0"/>
          <w:szCs w:val="21"/>
        </w:rPr>
      </w:pPr>
      <w:r>
        <w:rPr>
          <w:rFonts w:hint="eastAsia" w:ascii="黑体" w:hAnsi="黑体" w:eastAsia="黑体" w:cs="黑体"/>
          <w:kern w:val="0"/>
          <w:szCs w:val="21"/>
          <w:lang w:val="en-US" w:eastAsia="zh-CN"/>
        </w:rPr>
        <w:t xml:space="preserve">5.2.2 变压器选型 </w:t>
      </w:r>
    </w:p>
    <w:p>
      <w:pPr>
        <w:autoSpaceDE w:val="0"/>
        <w:autoSpaceDN w:val="0"/>
        <w:adjustRightInd w:val="0"/>
        <w:ind w:firstLine="420" w:firstLineChars="200"/>
        <w:jc w:val="left"/>
        <w:rPr>
          <w:rFonts w:hint="eastAsia" w:cs="Times New Roman" w:asciiTheme="minorEastAsia" w:hAnsiTheme="minorEastAsia" w:eastAsiaTheme="minorEastAsia"/>
          <w:lang w:val="en-US" w:eastAsia="zh-CN"/>
        </w:rPr>
      </w:pPr>
      <w:r>
        <w:rPr>
          <w:rFonts w:hint="eastAsia" w:cs="Times New Roman" w:asciiTheme="minorEastAsia" w:hAnsiTheme="minorEastAsia" w:eastAsiaTheme="minorEastAsia"/>
          <w:lang w:val="en-US" w:eastAsia="zh-CN"/>
        </w:rPr>
        <w:t xml:space="preserve">既有小区充电设施改造涉及新设独立配变、增容改造时，应考虑变压器选型，主要要求如下： </w:t>
      </w:r>
    </w:p>
    <w:p>
      <w:pPr>
        <w:autoSpaceDE w:val="0"/>
        <w:autoSpaceDN w:val="0"/>
        <w:adjustRightInd w:val="0"/>
        <w:ind w:firstLine="420" w:firstLineChars="200"/>
        <w:jc w:val="left"/>
        <w:rPr>
          <w:rFonts w:hint="eastAsia" w:cs="Times New Roman" w:asciiTheme="minorEastAsia" w:hAnsiTheme="minorEastAsia" w:eastAsiaTheme="minorEastAsia"/>
        </w:rPr>
      </w:pPr>
      <w:r>
        <w:rPr>
          <w:rFonts w:hint="eastAsia" w:cs="Times New Roman" w:asciiTheme="minorEastAsia" w:hAnsiTheme="minorEastAsia" w:eastAsiaTheme="minorEastAsia"/>
          <w:lang w:val="en-US" w:eastAsia="zh-CN"/>
        </w:rPr>
        <w:t xml:space="preserve">a)变压器应选用高效节能型产品，额定变比采用 </w:t>
      </w:r>
      <w:r>
        <w:rPr>
          <w:rFonts w:hint="default" w:cs="Times New Roman" w:asciiTheme="minorEastAsia" w:hAnsiTheme="minorEastAsia" w:eastAsiaTheme="minorEastAsia"/>
          <w:lang w:val="en-US" w:eastAsia="zh-CN"/>
        </w:rPr>
        <w:t xml:space="preserve">10 </w:t>
      </w:r>
      <w:r>
        <w:rPr>
          <w:rFonts w:hint="eastAsia" w:cs="Times New Roman" w:asciiTheme="minorEastAsia" w:hAnsiTheme="minorEastAsia" w:eastAsiaTheme="minorEastAsia"/>
          <w:lang w:val="en-US" w:eastAsia="zh-CN"/>
        </w:rPr>
        <w:t>(</w:t>
      </w:r>
      <w:r>
        <w:rPr>
          <w:rFonts w:hint="default" w:cs="Times New Roman" w:asciiTheme="minorEastAsia" w:hAnsiTheme="minorEastAsia" w:eastAsiaTheme="minorEastAsia"/>
          <w:lang w:val="en-US" w:eastAsia="zh-CN"/>
        </w:rPr>
        <w:t>10.5</w:t>
      </w:r>
      <w:r>
        <w:rPr>
          <w:rFonts w:hint="eastAsia" w:cs="Times New Roman" w:asciiTheme="minorEastAsia" w:hAnsiTheme="minorEastAsia" w:eastAsiaTheme="minorEastAsia"/>
          <w:lang w:val="en-US" w:eastAsia="zh-CN"/>
        </w:rPr>
        <w:t xml:space="preserve">) </w:t>
      </w:r>
      <w:r>
        <w:rPr>
          <w:rFonts w:hint="default" w:cs="Times New Roman" w:asciiTheme="minorEastAsia" w:hAnsiTheme="minorEastAsia" w:eastAsiaTheme="minorEastAsia"/>
          <w:lang w:val="en-US" w:eastAsia="zh-CN"/>
        </w:rPr>
        <w:t xml:space="preserve">kV±2×2.5%/0.4kV </w:t>
      </w:r>
      <w:r>
        <w:rPr>
          <w:rFonts w:hint="eastAsia" w:cs="Times New Roman" w:asciiTheme="minorEastAsia" w:hAnsiTheme="minorEastAsia" w:eastAsiaTheme="minorEastAsia"/>
          <w:lang w:val="en-US" w:eastAsia="zh-CN"/>
        </w:rPr>
        <w:t xml:space="preserve">，接线组别宜采用 </w:t>
      </w:r>
      <w:r>
        <w:rPr>
          <w:rFonts w:hint="default" w:cs="Times New Roman" w:asciiTheme="minorEastAsia" w:hAnsiTheme="minorEastAsia" w:eastAsiaTheme="minorEastAsia"/>
          <w:lang w:val="en-US" w:eastAsia="zh-CN"/>
        </w:rPr>
        <w:t>Dyn11</w:t>
      </w:r>
      <w:r>
        <w:rPr>
          <w:rFonts w:hint="eastAsia" w:cs="Times New Roman" w:asciiTheme="minorEastAsia" w:hAnsiTheme="minorEastAsia" w:eastAsiaTheme="minorEastAsia"/>
          <w:lang w:val="en-US" w:eastAsia="zh-CN"/>
        </w:rPr>
        <w:t xml:space="preserve">； </w:t>
      </w:r>
    </w:p>
    <w:p>
      <w:pPr>
        <w:autoSpaceDE w:val="0"/>
        <w:autoSpaceDN w:val="0"/>
        <w:adjustRightInd w:val="0"/>
        <w:ind w:firstLine="420" w:firstLineChars="200"/>
        <w:jc w:val="left"/>
        <w:rPr>
          <w:rFonts w:hint="eastAsia" w:cs="Times New Roman" w:asciiTheme="minorEastAsia" w:hAnsiTheme="minorEastAsia" w:eastAsiaTheme="minorEastAsia"/>
        </w:rPr>
      </w:pPr>
      <w:r>
        <w:rPr>
          <w:rFonts w:hint="eastAsia" w:cs="Times New Roman" w:asciiTheme="minorEastAsia" w:hAnsiTheme="minorEastAsia" w:eastAsiaTheme="minorEastAsia"/>
          <w:lang w:val="en-US" w:eastAsia="zh-CN"/>
        </w:rPr>
        <w:t xml:space="preserve">b)独立户内配电室或箱式变压器内可采用油浸式变压器；大楼建筑物非独立式或地下配电室应采用干式变压器； </w:t>
      </w:r>
    </w:p>
    <w:p>
      <w:pPr>
        <w:autoSpaceDE w:val="0"/>
        <w:autoSpaceDN w:val="0"/>
        <w:adjustRightInd w:val="0"/>
        <w:ind w:firstLine="420" w:firstLineChars="200"/>
        <w:jc w:val="left"/>
        <w:rPr>
          <w:rFonts w:hint="eastAsia" w:cs="Times New Roman" w:asciiTheme="minorEastAsia" w:hAnsiTheme="minorEastAsia" w:eastAsiaTheme="minorEastAsia"/>
        </w:rPr>
      </w:pPr>
      <w:r>
        <w:rPr>
          <w:rFonts w:hint="eastAsia" w:cs="Times New Roman" w:asciiTheme="minorEastAsia" w:hAnsiTheme="minorEastAsia" w:eastAsiaTheme="minorEastAsia"/>
          <w:lang w:val="en-US" w:eastAsia="zh-CN"/>
        </w:rPr>
        <w:t xml:space="preserve">c)单台油浸式变压器容量不宜超过 </w:t>
      </w:r>
      <w:r>
        <w:rPr>
          <w:rFonts w:hint="default" w:cs="Times New Roman" w:asciiTheme="minorEastAsia" w:hAnsiTheme="minorEastAsia" w:eastAsiaTheme="minorEastAsia"/>
          <w:lang w:val="en-US" w:eastAsia="zh-CN"/>
        </w:rPr>
        <w:t>630kVA</w:t>
      </w:r>
      <w:r>
        <w:rPr>
          <w:rFonts w:hint="eastAsia" w:cs="Times New Roman" w:asciiTheme="minorEastAsia" w:hAnsiTheme="minorEastAsia" w:eastAsiaTheme="minorEastAsia"/>
          <w:lang w:val="en-US" w:eastAsia="zh-CN"/>
        </w:rPr>
        <w:t xml:space="preserve">，单台干式变压器容量不宜超过 </w:t>
      </w:r>
      <w:r>
        <w:rPr>
          <w:rFonts w:hint="default" w:cs="Times New Roman" w:asciiTheme="minorEastAsia" w:hAnsiTheme="minorEastAsia" w:eastAsiaTheme="minorEastAsia"/>
          <w:lang w:val="en-US" w:eastAsia="zh-CN"/>
        </w:rPr>
        <w:t>800kVA</w:t>
      </w:r>
      <w:r>
        <w:rPr>
          <w:rFonts w:hint="eastAsia" w:cs="Times New Roman" w:asciiTheme="minorEastAsia" w:hAnsiTheme="minorEastAsia" w:eastAsiaTheme="minorEastAsia"/>
          <w:lang w:val="en-US" w:eastAsia="zh-CN"/>
        </w:rPr>
        <w:t xml:space="preserve">； </w:t>
      </w:r>
    </w:p>
    <w:p>
      <w:pPr>
        <w:autoSpaceDE w:val="0"/>
        <w:autoSpaceDN w:val="0"/>
        <w:adjustRightInd w:val="0"/>
        <w:ind w:firstLine="420" w:firstLineChars="200"/>
        <w:jc w:val="left"/>
        <w:rPr>
          <w:rFonts w:hint="eastAsia" w:cs="Times New Roman" w:asciiTheme="minorEastAsia" w:hAnsiTheme="minorEastAsia" w:eastAsiaTheme="minorEastAsia"/>
        </w:rPr>
      </w:pPr>
      <w:r>
        <w:rPr>
          <w:rFonts w:hint="default" w:cs="Times New Roman" w:asciiTheme="minorEastAsia" w:hAnsiTheme="minorEastAsia" w:eastAsiaTheme="minorEastAsia"/>
          <w:lang w:val="en-US" w:eastAsia="zh-CN"/>
        </w:rPr>
        <w:t xml:space="preserve">630kVA </w:t>
      </w:r>
      <w:r>
        <w:rPr>
          <w:rFonts w:hint="eastAsia" w:cs="Times New Roman" w:asciiTheme="minorEastAsia" w:hAnsiTheme="minorEastAsia" w:eastAsiaTheme="minorEastAsia"/>
          <w:lang w:val="en-US" w:eastAsia="zh-CN"/>
        </w:rPr>
        <w:t xml:space="preserve">及以下容量变压器阻抗电压取 </w:t>
      </w:r>
      <w:r>
        <w:rPr>
          <w:rFonts w:hint="default" w:cs="Times New Roman" w:asciiTheme="minorEastAsia" w:hAnsiTheme="minorEastAsia" w:eastAsiaTheme="minorEastAsia"/>
          <w:lang w:val="en-US" w:eastAsia="zh-CN"/>
        </w:rPr>
        <w:t xml:space="preserve">4.5% </w:t>
      </w:r>
      <w:r>
        <w:rPr>
          <w:rFonts w:hint="eastAsia" w:cs="Times New Roman" w:asciiTheme="minorEastAsia" w:hAnsiTheme="minorEastAsia" w:eastAsiaTheme="minorEastAsia"/>
          <w:lang w:val="en-US" w:eastAsia="zh-CN"/>
        </w:rPr>
        <w:t>，</w:t>
      </w:r>
      <w:r>
        <w:rPr>
          <w:rFonts w:hint="default" w:cs="Times New Roman" w:asciiTheme="minorEastAsia" w:hAnsiTheme="minorEastAsia" w:eastAsiaTheme="minorEastAsia"/>
          <w:lang w:val="en-US" w:eastAsia="zh-CN"/>
        </w:rPr>
        <w:t xml:space="preserve">630kVA </w:t>
      </w:r>
      <w:r>
        <w:rPr>
          <w:rFonts w:hint="eastAsia" w:cs="Times New Roman" w:asciiTheme="minorEastAsia" w:hAnsiTheme="minorEastAsia" w:eastAsiaTheme="minorEastAsia"/>
          <w:lang w:val="en-US" w:eastAsia="zh-CN"/>
        </w:rPr>
        <w:t xml:space="preserve">以上容量变压器阻抗电压取 </w:t>
      </w:r>
      <w:r>
        <w:rPr>
          <w:rFonts w:hint="default" w:cs="Times New Roman" w:asciiTheme="minorEastAsia" w:hAnsiTheme="minorEastAsia" w:eastAsiaTheme="minorEastAsia"/>
          <w:lang w:val="en-US" w:eastAsia="zh-CN"/>
        </w:rPr>
        <w:t>6%</w:t>
      </w:r>
      <w:r>
        <w:rPr>
          <w:rFonts w:hint="eastAsia" w:cs="Times New Roman" w:asciiTheme="minorEastAsia" w:hAnsiTheme="minorEastAsia" w:eastAsiaTheme="minorEastAsia"/>
          <w:lang w:val="en-US" w:eastAsia="zh-CN"/>
        </w:rPr>
        <w:t xml:space="preserve">； </w:t>
      </w:r>
    </w:p>
    <w:p>
      <w:pPr>
        <w:autoSpaceDE w:val="0"/>
        <w:autoSpaceDN w:val="0"/>
        <w:adjustRightInd w:val="0"/>
        <w:ind w:firstLine="420" w:firstLineChars="200"/>
        <w:jc w:val="left"/>
        <w:rPr>
          <w:rFonts w:hint="eastAsia" w:cs="Times New Roman" w:asciiTheme="minorEastAsia" w:hAnsiTheme="minorEastAsia" w:eastAsiaTheme="minorEastAsia"/>
        </w:rPr>
      </w:pPr>
      <w:r>
        <w:rPr>
          <w:rFonts w:hint="eastAsia" w:cs="Times New Roman" w:asciiTheme="minorEastAsia" w:hAnsiTheme="minorEastAsia" w:eastAsiaTheme="minorEastAsia"/>
          <w:lang w:val="en-US" w:eastAsia="zh-CN"/>
        </w:rPr>
        <w:t xml:space="preserve">d)非独立式配电室，可考虑在变压器下面加装减震装置，变压器出线处加装软铜排，以减少低频噪声； </w:t>
      </w:r>
    </w:p>
    <w:p>
      <w:pPr>
        <w:autoSpaceDE w:val="0"/>
        <w:autoSpaceDN w:val="0"/>
        <w:adjustRightInd w:val="0"/>
        <w:ind w:firstLine="420" w:firstLineChars="200"/>
        <w:jc w:val="left"/>
        <w:rPr>
          <w:rFonts w:hint="eastAsia" w:cs="Times New Roman" w:asciiTheme="minorEastAsia" w:hAnsiTheme="minorEastAsia" w:eastAsiaTheme="minorEastAsia"/>
        </w:rPr>
      </w:pPr>
      <w:r>
        <w:rPr>
          <w:rFonts w:hint="eastAsia" w:cs="Times New Roman" w:asciiTheme="minorEastAsia" w:hAnsiTheme="minorEastAsia" w:eastAsiaTheme="minorEastAsia"/>
          <w:lang w:val="en-US" w:eastAsia="zh-CN"/>
        </w:rPr>
        <w:t>e)变压器应具备抗突发短路能力，能够通过突发短路试验。</w:t>
      </w:r>
    </w:p>
    <w:p>
      <w:pPr>
        <w:pStyle w:val="127"/>
        <w:spacing w:before="156" w:beforeLines="50" w:after="156" w:afterLines="50"/>
      </w:pPr>
      <w:bookmarkStart w:id="74" w:name="_Toc11122"/>
      <w:r>
        <w:rPr>
          <w:rFonts w:hint="eastAsia"/>
        </w:rPr>
        <w:t>5.3 电缆分支箱</w:t>
      </w:r>
      <w:bookmarkEnd w:id="74"/>
    </w:p>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rPr>
          <w:rFonts w:hint="eastAsia" w:eastAsia="黑体"/>
          <w:highlight w:val="none"/>
          <w:lang w:eastAsia="zh-CN"/>
        </w:rPr>
      </w:pPr>
      <w:r>
        <w:rPr>
          <w:rFonts w:hint="eastAsia"/>
          <w:highlight w:val="none"/>
        </w:rPr>
        <w:t>5.3</w:t>
      </w:r>
      <w:r>
        <w:rPr>
          <w:rFonts w:hint="eastAsia"/>
          <w:highlight w:val="none"/>
          <w:lang w:val="en-US" w:eastAsia="zh-CN"/>
        </w:rPr>
        <w:t>.1</w:t>
      </w:r>
      <w:r>
        <w:rPr>
          <w:rFonts w:hint="eastAsia"/>
          <w:highlight w:val="none"/>
        </w:rPr>
        <w:t xml:space="preserve"> </w:t>
      </w:r>
      <w:r>
        <w:rPr>
          <w:rFonts w:hint="eastAsia"/>
          <w:highlight w:val="none"/>
          <w:lang w:eastAsia="zh-CN"/>
        </w:rPr>
        <w:t>布置位置</w:t>
      </w:r>
    </w:p>
    <w:p>
      <w:pPr>
        <w:autoSpaceDE w:val="0"/>
        <w:autoSpaceDN w:val="0"/>
        <w:adjustRightInd w:val="0"/>
        <w:ind w:firstLine="420"/>
        <w:jc w:val="left"/>
        <w:rPr>
          <w:rFonts w:hint="eastAsia" w:asciiTheme="minorEastAsia" w:hAnsiTheme="minorEastAsia" w:eastAsiaTheme="minorEastAsia"/>
        </w:rPr>
      </w:pPr>
      <w:r>
        <w:rPr>
          <w:rFonts w:hint="eastAsia" w:asciiTheme="minorEastAsia" w:hAnsiTheme="minorEastAsia" w:eastAsiaTheme="minorEastAsia"/>
        </w:rPr>
        <w:t>低压电缆分支箱分为落地式低压电缆分支箱、挂墙式低压电缆分支箱两类。地下车库采用挂墙式低压电缆分支箱，应均匀布置在每个防火分区；地上部分采用挂墙式低压电缆分支箱或落地式低压电缆分支箱，应布置在邻近车位的公共墙面或绿化带等公共区域。</w:t>
      </w:r>
    </w:p>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pPr>
      <w:bookmarkStart w:id="75" w:name="_Toc28426"/>
      <w:r>
        <w:rPr>
          <w:rFonts w:hint="eastAsia"/>
        </w:rPr>
        <w:t>5.3</w:t>
      </w:r>
      <w:r>
        <w:rPr>
          <w:rFonts w:hint="eastAsia"/>
          <w:lang w:val="en-US" w:eastAsia="zh-CN"/>
        </w:rPr>
        <w:t>.2</w:t>
      </w:r>
      <w:r>
        <w:rPr>
          <w:rFonts w:hint="eastAsia"/>
        </w:rPr>
        <w:t xml:space="preserve"> 电气接线</w:t>
      </w:r>
      <w:bookmarkEnd w:id="75"/>
    </w:p>
    <w:p>
      <w:pPr>
        <w:autoSpaceDE w:val="0"/>
        <w:autoSpaceDN w:val="0"/>
        <w:adjustRightInd w:val="0"/>
        <w:ind w:firstLine="420" w:firstLineChars="200"/>
        <w:jc w:val="left"/>
        <w:rPr>
          <w:rFonts w:asciiTheme="minorEastAsia" w:hAnsiTheme="minorEastAsia" w:eastAsiaTheme="minorEastAsia"/>
        </w:rPr>
      </w:pPr>
      <w:r>
        <w:rPr>
          <w:rFonts w:hint="eastAsia" w:asciiTheme="minorEastAsia" w:hAnsiTheme="minorEastAsia" w:eastAsiaTheme="minorEastAsia"/>
        </w:rPr>
        <w:t>低压电缆分支箱电气主接线采用单母线接线，一般采用</w:t>
      </w:r>
      <w:r>
        <w:rPr>
          <w:rFonts w:asciiTheme="minorEastAsia" w:hAnsiTheme="minorEastAsia" w:eastAsiaTheme="minorEastAsia"/>
        </w:rPr>
        <w:t xml:space="preserve">1 </w:t>
      </w:r>
      <w:r>
        <w:rPr>
          <w:rFonts w:hint="eastAsia" w:asciiTheme="minorEastAsia" w:hAnsiTheme="minorEastAsia" w:eastAsiaTheme="minorEastAsia"/>
        </w:rPr>
        <w:t>进</w:t>
      </w:r>
      <w:r>
        <w:rPr>
          <w:rFonts w:asciiTheme="minorEastAsia" w:hAnsiTheme="minorEastAsia" w:eastAsiaTheme="minorEastAsia"/>
        </w:rPr>
        <w:t xml:space="preserve">4 </w:t>
      </w:r>
      <w:r>
        <w:rPr>
          <w:rFonts w:hint="eastAsia" w:asciiTheme="minorEastAsia" w:hAnsiTheme="minorEastAsia" w:eastAsiaTheme="minorEastAsia"/>
        </w:rPr>
        <w:t>出型、</w:t>
      </w:r>
      <w:r>
        <w:rPr>
          <w:rFonts w:asciiTheme="minorEastAsia" w:hAnsiTheme="minorEastAsia" w:eastAsiaTheme="minorEastAsia"/>
        </w:rPr>
        <w:t xml:space="preserve">1 </w:t>
      </w:r>
      <w:r>
        <w:rPr>
          <w:rFonts w:hint="eastAsia" w:asciiTheme="minorEastAsia" w:hAnsiTheme="minorEastAsia" w:eastAsiaTheme="minorEastAsia"/>
        </w:rPr>
        <w:t>进</w:t>
      </w:r>
      <w:r>
        <w:rPr>
          <w:rFonts w:asciiTheme="minorEastAsia" w:hAnsiTheme="minorEastAsia" w:eastAsiaTheme="minorEastAsia"/>
        </w:rPr>
        <w:t xml:space="preserve">6 </w:t>
      </w:r>
      <w:r>
        <w:rPr>
          <w:rFonts w:hint="eastAsia" w:asciiTheme="minorEastAsia" w:hAnsiTheme="minorEastAsia" w:eastAsiaTheme="minorEastAsia"/>
        </w:rPr>
        <w:t>出型。</w:t>
      </w:r>
    </w:p>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pPr>
      <w:bookmarkStart w:id="76" w:name="_Toc1995"/>
      <w:bookmarkStart w:id="77" w:name="_Toc9523"/>
      <w:r>
        <w:rPr>
          <w:rFonts w:hint="eastAsia"/>
        </w:rPr>
        <w:t>5.3</w:t>
      </w:r>
      <w:r>
        <w:rPr>
          <w:rFonts w:hint="eastAsia"/>
          <w:lang w:val="en-US" w:eastAsia="zh-CN"/>
        </w:rPr>
        <w:t>.3</w:t>
      </w:r>
      <w:r>
        <w:rPr>
          <w:rFonts w:hint="eastAsia"/>
        </w:rPr>
        <w:t xml:space="preserve"> 设备选型</w:t>
      </w:r>
      <w:bookmarkEnd w:id="76"/>
    </w:p>
    <w:bookmarkEnd w:id="77"/>
    <w:p>
      <w:pPr>
        <w:autoSpaceDE w:val="0"/>
        <w:autoSpaceDN w:val="0"/>
        <w:adjustRightInd w:val="0"/>
        <w:ind w:firstLine="420" w:firstLineChars="200"/>
        <w:jc w:val="left"/>
        <w:rPr>
          <w:rFonts w:hint="eastAsia" w:asciiTheme="minorEastAsia" w:hAnsiTheme="minorEastAsia" w:eastAsiaTheme="minorEastAsia"/>
          <w:highlight w:val="none"/>
          <w:lang w:eastAsia="zh-CN"/>
        </w:rPr>
      </w:pPr>
      <w:r>
        <w:rPr>
          <w:rFonts w:hint="eastAsia" w:asciiTheme="minorEastAsia" w:hAnsiTheme="minorEastAsia" w:eastAsiaTheme="minorEastAsia"/>
          <w:highlight w:val="none"/>
        </w:rPr>
        <w:t>低压电缆分支箱</w:t>
      </w:r>
      <w:r>
        <w:rPr>
          <w:rFonts w:hint="eastAsia" w:asciiTheme="minorEastAsia" w:hAnsiTheme="minorEastAsia" w:eastAsiaTheme="minorEastAsia"/>
          <w:highlight w:val="none"/>
          <w:lang w:eastAsia="zh-CN"/>
        </w:rPr>
        <w:t>的选型应考虑以下要求：</w:t>
      </w:r>
    </w:p>
    <w:p>
      <w:pPr>
        <w:autoSpaceDE w:val="0"/>
        <w:autoSpaceDN w:val="0"/>
        <w:adjustRightInd w:val="0"/>
        <w:ind w:firstLine="420" w:firstLineChars="200"/>
        <w:jc w:val="left"/>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a</w:t>
      </w:r>
      <w:r>
        <w:rPr>
          <w:rFonts w:asciiTheme="minorEastAsia" w:hAnsiTheme="minorEastAsia" w:eastAsiaTheme="minorEastAsia"/>
        </w:rPr>
        <w:t>)</w:t>
      </w:r>
      <w:r>
        <w:rPr>
          <w:rFonts w:hint="eastAsia" w:asciiTheme="minorEastAsia" w:hAnsiTheme="minorEastAsia" w:eastAsiaTheme="minorEastAsia"/>
        </w:rPr>
        <w:t>低压电缆分支箱进线开关选用隔离开关，出线开关选用塑壳断路器</w:t>
      </w:r>
      <w:r>
        <w:rPr>
          <w:rFonts w:hint="eastAsia" w:asciiTheme="minorEastAsia" w:hAnsiTheme="minorEastAsia" w:eastAsiaTheme="minorEastAsia"/>
          <w:lang w:eastAsia="zh-CN"/>
        </w:rPr>
        <w:t>；</w:t>
      </w:r>
    </w:p>
    <w:p>
      <w:pPr>
        <w:autoSpaceDE w:val="0"/>
        <w:autoSpaceDN w:val="0"/>
        <w:adjustRightInd w:val="0"/>
        <w:ind w:firstLine="420"/>
        <w:jc w:val="left"/>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b</w:t>
      </w:r>
      <w:r>
        <w:rPr>
          <w:rFonts w:asciiTheme="minorEastAsia" w:hAnsiTheme="minorEastAsia" w:eastAsiaTheme="minorEastAsia"/>
        </w:rPr>
        <w:t>)</w:t>
      </w:r>
      <w:r>
        <w:rPr>
          <w:rFonts w:hint="eastAsia" w:asciiTheme="minorEastAsia" w:hAnsiTheme="minorEastAsia" w:eastAsiaTheme="minorEastAsia"/>
        </w:rPr>
        <w:t>箱体外壳选用纤维增强型不饱和聚脂树脂材料</w:t>
      </w:r>
      <w:r>
        <w:rPr>
          <w:rFonts w:asciiTheme="minorEastAsia" w:hAnsiTheme="minorEastAsia" w:eastAsiaTheme="minorEastAsia"/>
        </w:rPr>
        <w:t>(SMC)</w:t>
      </w:r>
      <w:r>
        <w:rPr>
          <w:rFonts w:hint="eastAsia" w:asciiTheme="minorEastAsia" w:hAnsiTheme="minorEastAsia" w:eastAsiaTheme="minorEastAsia"/>
        </w:rPr>
        <w:t>或不锈钢材料</w:t>
      </w:r>
      <w:r>
        <w:rPr>
          <w:rFonts w:hint="eastAsia" w:asciiTheme="minorEastAsia" w:hAnsiTheme="minorEastAsia" w:eastAsiaTheme="minorEastAsia"/>
          <w:lang w:eastAsia="zh-CN"/>
        </w:rPr>
        <w:t>；</w:t>
      </w:r>
    </w:p>
    <w:p>
      <w:pPr>
        <w:autoSpaceDE w:val="0"/>
        <w:autoSpaceDN w:val="0"/>
        <w:adjustRightInd w:val="0"/>
        <w:ind w:firstLine="420"/>
        <w:jc w:val="left"/>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c</w:t>
      </w:r>
      <w:r>
        <w:rPr>
          <w:rFonts w:asciiTheme="minorEastAsia" w:hAnsiTheme="minorEastAsia" w:eastAsiaTheme="minorEastAsia"/>
        </w:rPr>
        <w:t>)</w:t>
      </w:r>
      <w:r>
        <w:rPr>
          <w:rFonts w:hint="eastAsia" w:asciiTheme="minorEastAsia" w:hAnsiTheme="minorEastAsia" w:eastAsiaTheme="minorEastAsia"/>
        </w:rPr>
        <w:t>户内型电缆分支箱防护等级不低于</w:t>
      </w:r>
      <w:r>
        <w:rPr>
          <w:rFonts w:asciiTheme="minorEastAsia" w:hAnsiTheme="minorEastAsia" w:eastAsiaTheme="minorEastAsia"/>
        </w:rPr>
        <w:t>IP33</w:t>
      </w:r>
      <w:r>
        <w:rPr>
          <w:rFonts w:hint="eastAsia" w:asciiTheme="minorEastAsia" w:hAnsiTheme="minorEastAsia" w:eastAsiaTheme="minorEastAsia"/>
        </w:rPr>
        <w:t>，户外型电缆分支箱防护等级不低于</w:t>
      </w:r>
      <w:r>
        <w:rPr>
          <w:rFonts w:asciiTheme="minorEastAsia" w:hAnsiTheme="minorEastAsia" w:eastAsiaTheme="minorEastAsia"/>
        </w:rPr>
        <w:t>IP44</w:t>
      </w:r>
      <w:r>
        <w:rPr>
          <w:rFonts w:hint="eastAsia" w:asciiTheme="minorEastAsia" w:hAnsiTheme="minorEastAsia" w:eastAsiaTheme="minorEastAsia"/>
          <w:lang w:eastAsia="zh-CN"/>
        </w:rPr>
        <w:t>；</w:t>
      </w:r>
    </w:p>
    <w:p>
      <w:pPr>
        <w:autoSpaceDE w:val="0"/>
        <w:autoSpaceDN w:val="0"/>
        <w:adjustRightInd w:val="0"/>
        <w:ind w:firstLine="420"/>
        <w:jc w:val="left"/>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d</w:t>
      </w:r>
      <w:r>
        <w:rPr>
          <w:rFonts w:asciiTheme="minorEastAsia" w:hAnsiTheme="minorEastAsia" w:eastAsiaTheme="minorEastAsia"/>
        </w:rPr>
        <w:t>)</w:t>
      </w:r>
      <w:r>
        <w:rPr>
          <w:rFonts w:hint="eastAsia" w:asciiTheme="minorEastAsia" w:hAnsiTheme="minorEastAsia" w:eastAsiaTheme="minorEastAsia"/>
        </w:rPr>
        <w:t>电缆分支箱进线开关框架电流一般采用</w:t>
      </w:r>
      <w:r>
        <w:rPr>
          <w:rFonts w:asciiTheme="minorEastAsia" w:hAnsiTheme="minorEastAsia" w:eastAsiaTheme="minorEastAsia"/>
        </w:rPr>
        <w:t>400A</w:t>
      </w:r>
      <w:r>
        <w:rPr>
          <w:rFonts w:hint="eastAsia" w:asciiTheme="minorEastAsia" w:hAnsiTheme="minorEastAsia" w:eastAsiaTheme="minorEastAsia"/>
        </w:rPr>
        <w:t>或</w:t>
      </w:r>
      <w:r>
        <w:rPr>
          <w:rFonts w:asciiTheme="minorEastAsia" w:hAnsiTheme="minorEastAsia" w:eastAsiaTheme="minorEastAsia"/>
        </w:rPr>
        <w:t>630A</w:t>
      </w:r>
      <w:r>
        <w:rPr>
          <w:rFonts w:hint="eastAsia" w:asciiTheme="minorEastAsia" w:hAnsiTheme="minorEastAsia" w:eastAsiaTheme="minorEastAsia"/>
          <w:lang w:eastAsia="zh-CN"/>
        </w:rPr>
        <w:t>；</w:t>
      </w:r>
    </w:p>
    <w:p>
      <w:pPr>
        <w:autoSpaceDE w:val="0"/>
        <w:autoSpaceDN w:val="0"/>
        <w:adjustRightInd w:val="0"/>
        <w:ind w:firstLine="420"/>
        <w:jc w:val="left"/>
        <w:rPr>
          <w:rFonts w:hint="eastAsia" w:asciiTheme="minorEastAsia" w:hAnsiTheme="minorEastAsia" w:eastAsiaTheme="minorEastAsia"/>
        </w:rPr>
      </w:pPr>
      <w:r>
        <w:rPr>
          <w:rFonts w:hint="eastAsia" w:asciiTheme="minorEastAsia" w:hAnsiTheme="minorEastAsia" w:eastAsiaTheme="minorEastAsia"/>
          <w:lang w:val="en-US" w:eastAsia="zh-CN"/>
        </w:rPr>
        <w:t>e</w:t>
      </w:r>
      <w:r>
        <w:rPr>
          <w:rFonts w:asciiTheme="minorEastAsia" w:hAnsiTheme="minorEastAsia" w:eastAsiaTheme="minorEastAsia"/>
        </w:rPr>
        <w:t>)</w:t>
      </w:r>
      <w:r>
        <w:rPr>
          <w:rFonts w:hint="eastAsia" w:asciiTheme="minorEastAsia" w:hAnsiTheme="minorEastAsia" w:eastAsiaTheme="minorEastAsia"/>
        </w:rPr>
        <w:t>电缆分支箱出线开关框架电流一般采用</w:t>
      </w:r>
      <w:r>
        <w:rPr>
          <w:rFonts w:asciiTheme="minorEastAsia" w:hAnsiTheme="minorEastAsia" w:eastAsiaTheme="minorEastAsia"/>
        </w:rPr>
        <w:t>160A</w:t>
      </w:r>
      <w:r>
        <w:rPr>
          <w:rFonts w:hint="eastAsia" w:asciiTheme="minorEastAsia" w:hAnsiTheme="minorEastAsia" w:eastAsiaTheme="minorEastAsia"/>
        </w:rPr>
        <w:t>或</w:t>
      </w:r>
      <w:r>
        <w:rPr>
          <w:rFonts w:asciiTheme="minorEastAsia" w:hAnsiTheme="minorEastAsia" w:eastAsiaTheme="minorEastAsia"/>
        </w:rPr>
        <w:t>250A</w:t>
      </w:r>
      <w:r>
        <w:rPr>
          <w:rFonts w:hint="eastAsia" w:asciiTheme="minorEastAsia" w:hAnsiTheme="minorEastAsia" w:eastAsiaTheme="minorEastAsia"/>
        </w:rPr>
        <w:t>。</w:t>
      </w:r>
    </w:p>
    <w:p>
      <w:pPr>
        <w:pStyle w:val="127"/>
        <w:spacing w:before="156" w:beforeLines="50" w:after="156" w:afterLines="50"/>
      </w:pPr>
      <w:bookmarkStart w:id="78" w:name="_Toc21786"/>
      <w:r>
        <w:rPr>
          <w:rFonts w:hint="eastAsia"/>
        </w:rPr>
        <w:t>5.4 电能计量箱及电能表</w:t>
      </w:r>
      <w:bookmarkEnd w:id="78"/>
    </w:p>
    <w:p>
      <w:pPr>
        <w:autoSpaceDE w:val="0"/>
        <w:autoSpaceDN w:val="0"/>
        <w:adjustRightInd w:val="0"/>
        <w:ind w:firstLine="420"/>
        <w:jc w:val="left"/>
        <w:rPr>
          <w:rFonts w:asciiTheme="minorEastAsia" w:hAnsiTheme="minorEastAsia" w:eastAsiaTheme="minorEastAsia"/>
          <w:highlight w:val="none"/>
        </w:rPr>
      </w:pPr>
      <w:r>
        <w:rPr>
          <w:rFonts w:asciiTheme="minorEastAsia" w:hAnsiTheme="minorEastAsia" w:eastAsiaTheme="minorEastAsia"/>
        </w:rPr>
        <w:t>(1)</w:t>
      </w:r>
      <w:r>
        <w:rPr>
          <w:rFonts w:hint="eastAsia" w:asciiTheme="minorEastAsia" w:hAnsiTheme="minorEastAsia" w:eastAsiaTheme="minorEastAsia"/>
        </w:rPr>
        <w:t>电能计量箱应靠近充电桩负荷中心，低压线路首、末端应满足</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val="en-US" w:eastAsia="zh-CN"/>
        </w:rPr>
        <w:t xml:space="preserve"> </w:t>
      </w:r>
      <w:r>
        <w:rPr>
          <w:rFonts w:asciiTheme="minorEastAsia" w:hAnsiTheme="minorEastAsia" w:eastAsiaTheme="minorEastAsia"/>
          <w:highlight w:val="none"/>
        </w:rPr>
        <w:t>GB</w:t>
      </w:r>
      <w:r>
        <w:rPr>
          <w:rFonts w:hint="eastAsia" w:hAnsi="Times New Roman" w:eastAsia="宋体" w:cs="Times New Roman"/>
          <w:color w:val="000000"/>
          <w:highlight w:val="none"/>
        </w:rPr>
        <w:t>/T</w:t>
      </w:r>
      <w:r>
        <w:rPr>
          <w:rFonts w:asciiTheme="minorEastAsia" w:hAnsiTheme="minorEastAsia" w:eastAsiaTheme="minorEastAsia"/>
          <w:highlight w:val="none"/>
        </w:rPr>
        <w:t xml:space="preserve"> 12325</w:t>
      </w:r>
      <w:r>
        <w:rPr>
          <w:rFonts w:hint="eastAsia" w:asciiTheme="minorEastAsia" w:hAnsiTheme="minorEastAsia" w:eastAsiaTheme="minorEastAsia"/>
          <w:highlight w:val="none"/>
        </w:rPr>
        <w:t>、</w:t>
      </w:r>
      <w:r>
        <w:rPr>
          <w:rFonts w:asciiTheme="minorEastAsia" w:hAnsiTheme="minorEastAsia" w:eastAsiaTheme="minorEastAsia"/>
          <w:highlight w:val="none"/>
        </w:rPr>
        <w:t>GB</w:t>
      </w:r>
      <w:r>
        <w:rPr>
          <w:rFonts w:hint="eastAsia" w:hAnsi="Times New Roman" w:eastAsia="宋体" w:cs="Times New Roman"/>
          <w:color w:val="000000"/>
          <w:highlight w:val="none"/>
        </w:rPr>
        <w:t>/T</w:t>
      </w:r>
      <w:r>
        <w:rPr>
          <w:rFonts w:asciiTheme="minorEastAsia" w:hAnsiTheme="minorEastAsia" w:eastAsiaTheme="minorEastAsia"/>
          <w:highlight w:val="none"/>
        </w:rPr>
        <w:t xml:space="preserve"> 12326 </w:t>
      </w:r>
      <w:r>
        <w:rPr>
          <w:rFonts w:hint="eastAsia" w:asciiTheme="minorEastAsia" w:hAnsiTheme="minorEastAsia" w:eastAsiaTheme="minorEastAsia"/>
          <w:highlight w:val="none"/>
        </w:rPr>
        <w:t>的要求。</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对于居住区地上停车位，宜设置多表位集中计量箱，应布置在邻近车位的公共墙面或绿化带等公共区域；对于居住区地下停车位，宜设置多表位集中计量箱或计量间，多表位集中计量箱或计量间，应按照防火分区集中布置，不应跨越防火分区；对于独立或联排住宅等房屋建筑，可设置单体计量箱。</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别墅或自建房屋安装个人充电桩，不得与居民生活用电的计量装置混用，应分别设立两个产权分界点接入公用电网，并按照不同电价类别，单独安装电表。</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电能计量箱之间供电，可通过加装低压电缆分支箱方式连接，不允许在电能计量箱之间串接。</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电能计量箱宜采用</w:t>
      </w:r>
      <w:r>
        <w:rPr>
          <w:rFonts w:asciiTheme="minorEastAsia" w:hAnsiTheme="minorEastAsia" w:eastAsiaTheme="minorEastAsia"/>
        </w:rPr>
        <w:t xml:space="preserve">12 </w:t>
      </w:r>
      <w:r>
        <w:rPr>
          <w:rFonts w:hint="eastAsia" w:asciiTheme="minorEastAsia" w:hAnsiTheme="minorEastAsia" w:eastAsiaTheme="minorEastAsia"/>
        </w:rPr>
        <w:t>位型、</w:t>
      </w:r>
      <w:r>
        <w:rPr>
          <w:rFonts w:asciiTheme="minorEastAsia" w:hAnsiTheme="minorEastAsia" w:eastAsiaTheme="minorEastAsia"/>
        </w:rPr>
        <w:t xml:space="preserve">9 </w:t>
      </w:r>
      <w:r>
        <w:rPr>
          <w:rFonts w:hint="eastAsia" w:asciiTheme="minorEastAsia" w:hAnsiTheme="minorEastAsia" w:eastAsiaTheme="minorEastAsia"/>
        </w:rPr>
        <w:t>位型、</w:t>
      </w:r>
      <w:r>
        <w:rPr>
          <w:rFonts w:asciiTheme="minorEastAsia" w:hAnsiTheme="minorEastAsia" w:eastAsiaTheme="minorEastAsia"/>
        </w:rPr>
        <w:t xml:space="preserve">6 </w:t>
      </w:r>
      <w:r>
        <w:rPr>
          <w:rFonts w:hint="eastAsia" w:asciiTheme="minorEastAsia" w:hAnsiTheme="minorEastAsia" w:eastAsiaTheme="minorEastAsia"/>
        </w:rPr>
        <w:t>位型、</w:t>
      </w:r>
      <w:r>
        <w:rPr>
          <w:rFonts w:asciiTheme="minorEastAsia" w:hAnsiTheme="minorEastAsia" w:eastAsiaTheme="minorEastAsia"/>
        </w:rPr>
        <w:t xml:space="preserve">4 </w:t>
      </w:r>
      <w:r>
        <w:rPr>
          <w:rFonts w:hint="eastAsia" w:asciiTheme="minorEastAsia" w:hAnsiTheme="minorEastAsia" w:eastAsiaTheme="minorEastAsia"/>
        </w:rPr>
        <w:t>位型。</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箱体外壳选用纤维增强型不饱和聚脂树脂材料</w:t>
      </w:r>
      <w:r>
        <w:rPr>
          <w:rFonts w:asciiTheme="minorEastAsia" w:hAnsiTheme="minorEastAsia" w:eastAsiaTheme="minorEastAsia"/>
        </w:rPr>
        <w:t>(SMC)</w:t>
      </w:r>
      <w:r>
        <w:rPr>
          <w:rFonts w:hint="eastAsia" w:asciiTheme="minorEastAsia" w:hAnsiTheme="minorEastAsia" w:eastAsiaTheme="minorEastAsia"/>
        </w:rPr>
        <w:t>。</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户外型电能计量箱应装设防雨和防阳光直射计量表计等防护措施，以减少表计的故障发生，延长表计的使用年限。</w:t>
      </w:r>
    </w:p>
    <w:p>
      <w:pPr>
        <w:autoSpaceDE w:val="0"/>
        <w:autoSpaceDN w:val="0"/>
        <w:adjustRightInd w:val="0"/>
        <w:ind w:firstLine="420"/>
        <w:jc w:val="left"/>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电能表可采取适当措施满足充电桩有序充电需求。</w:t>
      </w:r>
    </w:p>
    <w:p>
      <w:pPr>
        <w:pStyle w:val="127"/>
        <w:spacing w:before="156" w:beforeLines="50" w:after="156" w:afterLines="50"/>
      </w:pPr>
      <w:bookmarkStart w:id="79" w:name="_Toc8173"/>
      <w:r>
        <w:rPr>
          <w:rFonts w:hint="eastAsia"/>
        </w:rPr>
        <w:t>5.5电力电缆选配</w:t>
      </w:r>
      <w:bookmarkEnd w:id="79"/>
    </w:p>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pPr>
      <w:bookmarkStart w:id="80" w:name="_Toc31457"/>
      <w:r>
        <w:rPr>
          <w:rFonts w:hint="eastAsia"/>
        </w:rPr>
        <w:t>5.5</w:t>
      </w:r>
      <w:r>
        <w:rPr>
          <w:rFonts w:hint="eastAsia"/>
          <w:lang w:val="en-US" w:eastAsia="zh-CN"/>
        </w:rPr>
        <w:t>.</w:t>
      </w:r>
      <w:r>
        <w:rPr>
          <w:rFonts w:hint="eastAsia"/>
        </w:rPr>
        <w:t>1 电缆选择原则</w:t>
      </w:r>
      <w:bookmarkEnd w:id="80"/>
    </w:p>
    <w:p>
      <w:pPr>
        <w:autoSpaceDE w:val="0"/>
        <w:autoSpaceDN w:val="0"/>
        <w:adjustRightInd w:val="0"/>
        <w:ind w:firstLine="420"/>
        <w:jc w:val="left"/>
        <w:rPr>
          <w:rFonts w:asciiTheme="minorEastAsia" w:hAnsiTheme="minorEastAsia" w:eastAsiaTheme="minorEastAsia"/>
        </w:rPr>
      </w:pPr>
      <w:r>
        <w:rPr>
          <w:rFonts w:hint="eastAsia" w:asciiTheme="minorEastAsia" w:hAnsiTheme="minorEastAsia" w:eastAsiaTheme="minorEastAsia"/>
        </w:rPr>
        <w:t>电力电缆的选用应满足负荷要求、热稳定校验、敷设条件、安装条件、对电缆本体的要求、运输条件等。</w:t>
      </w:r>
    </w:p>
    <w:p>
      <w:pPr>
        <w:autoSpaceDE w:val="0"/>
        <w:autoSpaceDN w:val="0"/>
        <w:adjustRightInd w:val="0"/>
        <w:ind w:firstLine="420"/>
        <w:jc w:val="left"/>
        <w:rPr>
          <w:rFonts w:asciiTheme="minorEastAsia" w:hAnsiTheme="minorEastAsia" w:eastAsiaTheme="minorEastAsia"/>
        </w:rPr>
      </w:pPr>
      <w:r>
        <w:rPr>
          <w:rFonts w:hint="eastAsia" w:asciiTheme="minorEastAsia" w:hAnsiTheme="minorEastAsia" w:eastAsiaTheme="minorEastAsia"/>
        </w:rPr>
        <w:t>电力电缆通常情况下采用阻燃铜芯线缆，交联聚乙烯绝缘，应具有挤塑外护套。选择电缆截面，应在电缆额定载流量的基础上，考虑环境温度、并行敷设、热阻系数、埋设深度以及户外架空敷设无遮阳时的日照影响等因素后选择。</w:t>
      </w:r>
    </w:p>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pPr>
      <w:bookmarkStart w:id="81" w:name="_Toc31918"/>
      <w:r>
        <w:rPr>
          <w:rFonts w:hint="eastAsia"/>
        </w:rPr>
        <w:t>5</w:t>
      </w:r>
      <w:r>
        <w:t xml:space="preserve">.5.2 </w:t>
      </w:r>
      <w:r>
        <w:rPr>
          <w:rFonts w:hint="eastAsia"/>
        </w:rPr>
        <w:t xml:space="preserve"> 电缆型号及使用范围</w:t>
      </w:r>
      <w:bookmarkEnd w:id="81"/>
    </w:p>
    <w:p>
      <w:pPr>
        <w:autoSpaceDE w:val="0"/>
        <w:autoSpaceDN w:val="0"/>
        <w:adjustRightInd w:val="0"/>
        <w:ind w:firstLine="420"/>
        <w:jc w:val="left"/>
        <w:rPr>
          <w:rFonts w:asciiTheme="minorEastAsia" w:hAnsiTheme="minorEastAsia" w:eastAsiaTheme="minorEastAsia"/>
        </w:rPr>
      </w:pPr>
      <w:r>
        <w:rPr>
          <w:rFonts w:hint="eastAsia" w:asciiTheme="minorEastAsia" w:hAnsiTheme="minorEastAsia" w:eastAsiaTheme="minorEastAsia"/>
        </w:rPr>
        <w:t>居住区供电网络线缆一般采用五芯电缆</w:t>
      </w:r>
      <w:r>
        <w:rPr>
          <w:rFonts w:asciiTheme="minorEastAsia" w:hAnsiTheme="minorEastAsia" w:eastAsiaTheme="minorEastAsia"/>
        </w:rPr>
        <w:t>(</w:t>
      </w:r>
      <w:r>
        <w:rPr>
          <w:rFonts w:hint="eastAsia" w:asciiTheme="minorEastAsia" w:hAnsiTheme="minorEastAsia" w:eastAsiaTheme="minorEastAsia"/>
        </w:rPr>
        <w:t>充电网络一般用三芯电缆</w:t>
      </w:r>
      <w:r>
        <w:rPr>
          <w:rFonts w:asciiTheme="minorEastAsia" w:hAnsiTheme="minorEastAsia" w:eastAsiaTheme="minorEastAsia"/>
        </w:rPr>
        <w:t>)</w:t>
      </w:r>
      <w:r>
        <w:rPr>
          <w:rFonts w:hint="eastAsia" w:asciiTheme="minorEastAsia" w:hAnsiTheme="minorEastAsia" w:eastAsiaTheme="minorEastAsia"/>
        </w:rPr>
        <w:t>，常用电缆型号及适用范围见表</w:t>
      </w:r>
      <w:r>
        <w:rPr>
          <w:rFonts w:asciiTheme="minorEastAsia" w:hAnsiTheme="minorEastAsia" w:eastAsiaTheme="minorEastAsia"/>
        </w:rPr>
        <w:t>1</w:t>
      </w:r>
      <w:r>
        <w:rPr>
          <w:rFonts w:hint="eastAsia" w:asciiTheme="minorEastAsia" w:hAnsiTheme="minorEastAsia" w:eastAsiaTheme="minorEastAsia"/>
        </w:rPr>
        <w:t>。</w:t>
      </w:r>
    </w:p>
    <w:p>
      <w:pPr>
        <w:widowControl/>
        <w:jc w:val="left"/>
        <w:rPr>
          <w:rFonts w:ascii="黑体" w:eastAsia="黑体" w:cs="黑体"/>
          <w:kern w:val="0"/>
          <w:sz w:val="20"/>
          <w:szCs w:val="20"/>
        </w:rPr>
      </w:pPr>
    </w:p>
    <w:p>
      <w:pPr>
        <w:autoSpaceDE w:val="0"/>
        <w:autoSpaceDN w:val="0"/>
        <w:adjustRightInd w:val="0"/>
        <w:spacing w:before="156" w:beforeLines="50" w:after="156" w:afterLines="50"/>
        <w:jc w:val="center"/>
        <w:rPr>
          <w:rFonts w:ascii="黑体" w:eastAsia="黑体" w:cs="黑体"/>
          <w:kern w:val="0"/>
          <w:szCs w:val="21"/>
        </w:rPr>
      </w:pPr>
      <w:r>
        <w:rPr>
          <w:rFonts w:hint="eastAsia" w:ascii="黑体" w:eastAsia="黑体" w:cs="黑体"/>
          <w:kern w:val="0"/>
          <w:szCs w:val="21"/>
        </w:rPr>
        <w:t>表</w:t>
      </w:r>
      <w:r>
        <w:rPr>
          <w:rFonts w:ascii="黑体" w:eastAsia="黑体" w:cs="黑体"/>
          <w:kern w:val="0"/>
          <w:szCs w:val="21"/>
        </w:rPr>
        <w:t xml:space="preserve">1 </w:t>
      </w:r>
      <w:r>
        <w:rPr>
          <w:rFonts w:hint="eastAsia" w:ascii="黑体" w:eastAsia="黑体" w:cs="黑体"/>
          <w:kern w:val="0"/>
          <w:szCs w:val="21"/>
        </w:rPr>
        <w:t>电缆型号、名称及其适用范围</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6"/>
        <w:gridCol w:w="4984"/>
        <w:gridCol w:w="3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936"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2" w:name="_Toc12409"/>
            <w:r>
              <w:rPr>
                <w:rFonts w:hint="eastAsia" w:asciiTheme="minorEastAsia" w:hAnsiTheme="minorEastAsia" w:eastAsiaTheme="minorEastAsia"/>
                <w:sz w:val="18"/>
                <w:szCs w:val="18"/>
              </w:rPr>
              <w:t>型号</w:t>
            </w:r>
            <w:bookmarkEnd w:id="82"/>
          </w:p>
        </w:tc>
        <w:tc>
          <w:tcPr>
            <w:tcW w:w="4984"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3" w:name="_Toc22007"/>
            <w:r>
              <w:rPr>
                <w:rFonts w:hint="eastAsia" w:asciiTheme="minorEastAsia" w:hAnsiTheme="minorEastAsia" w:eastAsiaTheme="minorEastAsia"/>
                <w:sz w:val="18"/>
                <w:szCs w:val="18"/>
              </w:rPr>
              <w:t>名称</w:t>
            </w:r>
            <w:bookmarkEnd w:id="83"/>
          </w:p>
        </w:tc>
        <w:tc>
          <w:tcPr>
            <w:tcW w:w="3651"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4" w:name="_Toc7568"/>
            <w:r>
              <w:rPr>
                <w:rFonts w:hint="eastAsia" w:asciiTheme="minorEastAsia" w:hAnsiTheme="minorEastAsia" w:eastAsiaTheme="minorEastAsia"/>
                <w:sz w:val="18"/>
                <w:szCs w:val="18"/>
              </w:rPr>
              <w:t>适用范围</w:t>
            </w:r>
            <w:bookmarkEnd w:id="8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trPr>
        <w:tc>
          <w:tcPr>
            <w:tcW w:w="936"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5" w:name="_Toc28283"/>
            <w:r>
              <w:rPr>
                <w:rFonts w:asciiTheme="minorEastAsia" w:hAnsiTheme="minorEastAsia" w:eastAsiaTheme="minorEastAsia"/>
                <w:sz w:val="18"/>
                <w:szCs w:val="18"/>
              </w:rPr>
              <w:t>ZC-YJY23</w:t>
            </w:r>
            <w:bookmarkEnd w:id="85"/>
          </w:p>
        </w:tc>
        <w:tc>
          <w:tcPr>
            <w:tcW w:w="4984"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6" w:name="_Toc21702"/>
            <w:r>
              <w:rPr>
                <w:rFonts w:hint="eastAsia" w:asciiTheme="minorEastAsia" w:hAnsiTheme="minorEastAsia" w:eastAsiaTheme="minorEastAsia"/>
                <w:sz w:val="18"/>
                <w:szCs w:val="18"/>
              </w:rPr>
              <w:t>阻燃</w:t>
            </w:r>
            <w:r>
              <w:rPr>
                <w:rFonts w:asciiTheme="minorEastAsia" w:hAnsiTheme="minorEastAsia" w:eastAsiaTheme="minorEastAsia"/>
                <w:sz w:val="18"/>
                <w:szCs w:val="18"/>
              </w:rPr>
              <w:t xml:space="preserve">C </w:t>
            </w:r>
            <w:r>
              <w:rPr>
                <w:rFonts w:hint="eastAsia" w:asciiTheme="minorEastAsia" w:hAnsiTheme="minorEastAsia" w:eastAsiaTheme="minorEastAsia"/>
                <w:sz w:val="18"/>
                <w:szCs w:val="18"/>
              </w:rPr>
              <w:t>级交联聚乙烯绝缘钢带铠装聚乙烯护套电力电缆</w:t>
            </w:r>
            <w:bookmarkEnd w:id="86"/>
          </w:p>
        </w:tc>
        <w:tc>
          <w:tcPr>
            <w:tcW w:w="3651" w:type="dxa"/>
            <w:vMerge w:val="restart"/>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7" w:name="_Toc26157"/>
            <w:r>
              <w:rPr>
                <w:rFonts w:hint="eastAsia" w:asciiTheme="minorEastAsia" w:hAnsiTheme="minorEastAsia" w:eastAsiaTheme="minorEastAsia"/>
                <w:sz w:val="18"/>
                <w:szCs w:val="18"/>
              </w:rPr>
              <w:t>可在土壤直埋敷设，能承受机械外力作用，但不能承受大的拉力。</w:t>
            </w:r>
            <w:bookmarkEnd w:id="8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rPr>
        <w:tc>
          <w:tcPr>
            <w:tcW w:w="936"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8" w:name="_Toc14031"/>
            <w:r>
              <w:rPr>
                <w:rFonts w:asciiTheme="minorEastAsia" w:hAnsiTheme="minorEastAsia" w:eastAsiaTheme="minorEastAsia"/>
                <w:sz w:val="18"/>
                <w:szCs w:val="18"/>
              </w:rPr>
              <w:t>ZC-YJV22</w:t>
            </w:r>
            <w:bookmarkEnd w:id="88"/>
          </w:p>
        </w:tc>
        <w:tc>
          <w:tcPr>
            <w:tcW w:w="4984"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89" w:name="_Toc345"/>
            <w:r>
              <w:rPr>
                <w:rFonts w:hint="eastAsia" w:asciiTheme="minorEastAsia" w:hAnsiTheme="minorEastAsia" w:eastAsiaTheme="minorEastAsia"/>
                <w:sz w:val="18"/>
                <w:szCs w:val="18"/>
              </w:rPr>
              <w:t>阻燃</w:t>
            </w:r>
            <w:r>
              <w:rPr>
                <w:rFonts w:asciiTheme="minorEastAsia" w:hAnsiTheme="minorEastAsia" w:eastAsiaTheme="minorEastAsia"/>
                <w:sz w:val="18"/>
                <w:szCs w:val="18"/>
              </w:rPr>
              <w:t xml:space="preserve">C </w:t>
            </w:r>
            <w:r>
              <w:rPr>
                <w:rFonts w:hint="eastAsia" w:asciiTheme="minorEastAsia" w:hAnsiTheme="minorEastAsia" w:eastAsiaTheme="minorEastAsia"/>
                <w:sz w:val="18"/>
                <w:szCs w:val="18"/>
              </w:rPr>
              <w:t>级交联聚乙烯绝缘钢带铠装聚氯乙烯护套电力电缆</w:t>
            </w:r>
            <w:bookmarkEnd w:id="89"/>
          </w:p>
        </w:tc>
        <w:tc>
          <w:tcPr>
            <w:tcW w:w="3651" w:type="dxa"/>
            <w:vMerge w:val="continue"/>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trPr>
        <w:tc>
          <w:tcPr>
            <w:tcW w:w="936"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0" w:name="_Toc19360"/>
            <w:r>
              <w:rPr>
                <w:rFonts w:asciiTheme="minorEastAsia" w:hAnsiTheme="minorEastAsia" w:eastAsiaTheme="minorEastAsia"/>
                <w:sz w:val="18"/>
                <w:szCs w:val="18"/>
              </w:rPr>
              <w:t>ZC-YJY</w:t>
            </w:r>
            <w:bookmarkEnd w:id="90"/>
          </w:p>
        </w:tc>
        <w:tc>
          <w:tcPr>
            <w:tcW w:w="4984" w:type="dxa"/>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1" w:name="_Toc4488"/>
            <w:r>
              <w:rPr>
                <w:rFonts w:hint="eastAsia" w:asciiTheme="minorEastAsia" w:hAnsiTheme="minorEastAsia" w:eastAsiaTheme="minorEastAsia"/>
                <w:sz w:val="18"/>
                <w:szCs w:val="18"/>
              </w:rPr>
              <w:t>阻燃</w:t>
            </w:r>
            <w:r>
              <w:rPr>
                <w:rFonts w:asciiTheme="minorEastAsia" w:hAnsiTheme="minorEastAsia" w:eastAsiaTheme="minorEastAsia"/>
                <w:sz w:val="18"/>
                <w:szCs w:val="18"/>
              </w:rPr>
              <w:t xml:space="preserve">C </w:t>
            </w:r>
            <w:r>
              <w:rPr>
                <w:rFonts w:hint="eastAsia" w:asciiTheme="minorEastAsia" w:hAnsiTheme="minorEastAsia" w:eastAsiaTheme="minorEastAsia"/>
                <w:sz w:val="18"/>
                <w:szCs w:val="18"/>
              </w:rPr>
              <w:t>级交联聚乙烯绝缘钢带聚乙烯护套电力电缆</w:t>
            </w:r>
            <w:bookmarkEnd w:id="91"/>
          </w:p>
        </w:tc>
        <w:tc>
          <w:tcPr>
            <w:tcW w:w="3651" w:type="dxa"/>
            <w:vMerge w:val="restart"/>
            <w:vAlign w:val="center"/>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2" w:name="_Toc10820"/>
            <w:r>
              <w:rPr>
                <w:rFonts w:hint="eastAsia" w:asciiTheme="minorEastAsia" w:hAnsiTheme="minorEastAsia" w:eastAsiaTheme="minorEastAsia"/>
                <w:sz w:val="18"/>
                <w:szCs w:val="18"/>
              </w:rPr>
              <w:t>不能承受机械外力作用。</w:t>
            </w:r>
            <w:bookmarkEnd w:id="9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936" w:type="dxa"/>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3" w:name="_Toc22178"/>
            <w:r>
              <w:rPr>
                <w:rFonts w:asciiTheme="minorEastAsia" w:hAnsiTheme="minorEastAsia" w:eastAsiaTheme="minorEastAsia"/>
                <w:sz w:val="18"/>
                <w:szCs w:val="18"/>
              </w:rPr>
              <w:t>ZC-YJV</w:t>
            </w:r>
            <w:bookmarkEnd w:id="93"/>
          </w:p>
        </w:tc>
        <w:tc>
          <w:tcPr>
            <w:tcW w:w="4984" w:type="dxa"/>
          </w:tcPr>
          <w:p>
            <w:pPr>
              <w:pStyle w:val="127"/>
              <w:keepNext w:val="0"/>
              <w:keepLines w:val="0"/>
              <w:pageBreakBefore w:val="0"/>
              <w:widowControl/>
              <w:kinsoku/>
              <w:wordWrap/>
              <w:overflowPunct/>
              <w:topLinePunct w:val="0"/>
              <w:autoSpaceDE/>
              <w:autoSpaceDN/>
              <w:bidi w:val="0"/>
              <w:adjustRightInd/>
              <w:snapToGrid/>
              <w:spacing w:beforeLines="0" w:afterLines="0"/>
              <w:jc w:val="left"/>
              <w:textAlignment w:val="auto"/>
              <w:rPr>
                <w:rFonts w:asciiTheme="minorEastAsia" w:hAnsiTheme="minorEastAsia" w:eastAsiaTheme="minorEastAsia"/>
                <w:sz w:val="18"/>
                <w:szCs w:val="18"/>
              </w:rPr>
            </w:pPr>
            <w:bookmarkStart w:id="94" w:name="_Toc3075"/>
            <w:r>
              <w:rPr>
                <w:rFonts w:hint="eastAsia" w:asciiTheme="minorEastAsia" w:hAnsiTheme="minorEastAsia" w:eastAsiaTheme="minorEastAsia"/>
                <w:sz w:val="18"/>
                <w:szCs w:val="18"/>
              </w:rPr>
              <w:t>阻燃</w:t>
            </w:r>
            <w:r>
              <w:rPr>
                <w:rFonts w:asciiTheme="minorEastAsia" w:hAnsiTheme="minorEastAsia" w:eastAsiaTheme="minorEastAsia"/>
                <w:sz w:val="18"/>
                <w:szCs w:val="18"/>
              </w:rPr>
              <w:t xml:space="preserve">C </w:t>
            </w:r>
            <w:r>
              <w:rPr>
                <w:rFonts w:hint="eastAsia" w:asciiTheme="minorEastAsia" w:hAnsiTheme="minorEastAsia" w:eastAsiaTheme="minorEastAsia"/>
                <w:sz w:val="18"/>
                <w:szCs w:val="18"/>
              </w:rPr>
              <w:t>级交联聚乙烯绝缘钢带聚氯乙烯护套电力电缆</w:t>
            </w:r>
            <w:bookmarkEnd w:id="94"/>
          </w:p>
        </w:tc>
        <w:tc>
          <w:tcPr>
            <w:tcW w:w="3651" w:type="dxa"/>
            <w:vMerge w:val="continue"/>
          </w:tcPr>
          <w:p>
            <w:pPr>
              <w:pStyle w:val="127"/>
              <w:spacing w:before="156" w:beforeLines="50" w:after="156" w:afterLines="50"/>
              <w:jc w:val="center"/>
              <w:rPr>
                <w:rFonts w:asciiTheme="minorEastAsia" w:hAnsiTheme="minorEastAsia" w:eastAsiaTheme="minorEastAsia"/>
                <w:sz w:val="18"/>
                <w:szCs w:val="18"/>
              </w:rPr>
            </w:pPr>
          </w:p>
        </w:tc>
      </w:tr>
    </w:tbl>
    <w:p>
      <w:pPr>
        <w:autoSpaceDE w:val="0"/>
        <w:autoSpaceDN w:val="0"/>
        <w:adjustRightInd w:val="0"/>
        <w:spacing w:before="156" w:beforeLines="50"/>
        <w:jc w:val="left"/>
        <w:rPr>
          <w:rFonts w:ascii="宋体" w:cs="宋体"/>
          <w:kern w:val="0"/>
          <w:sz w:val="20"/>
          <w:szCs w:val="20"/>
        </w:rPr>
      </w:pPr>
      <w:r>
        <w:rPr>
          <w:rFonts w:hint="eastAsia" w:asciiTheme="minorEastAsia" w:hAnsiTheme="minorEastAsia" w:eastAsiaTheme="minorEastAsia"/>
        </w:rPr>
        <w:t>电缆铠装、外护套不同敷设方式下的选择参照表</w:t>
      </w:r>
      <w:r>
        <w:rPr>
          <w:rFonts w:asciiTheme="minorEastAsia" w:hAnsiTheme="minorEastAsia" w:eastAsiaTheme="minorEastAsia"/>
        </w:rPr>
        <w:t>2</w:t>
      </w:r>
      <w:r>
        <w:rPr>
          <w:rFonts w:hint="eastAsia" w:asciiTheme="minorEastAsia" w:hAnsiTheme="minorEastAsia" w:eastAsiaTheme="minorEastAsia"/>
        </w:rPr>
        <w:t>。</w:t>
      </w:r>
    </w:p>
    <w:p>
      <w:pPr>
        <w:autoSpaceDE w:val="0"/>
        <w:autoSpaceDN w:val="0"/>
        <w:adjustRightInd w:val="0"/>
        <w:spacing w:before="156" w:beforeLines="50" w:after="156" w:afterLines="50"/>
        <w:jc w:val="center"/>
        <w:rPr>
          <w:rFonts w:ascii="黑体" w:eastAsia="黑体" w:cs="黑体"/>
          <w:kern w:val="0"/>
          <w:szCs w:val="21"/>
        </w:rPr>
      </w:pPr>
      <w:r>
        <w:rPr>
          <w:rFonts w:hint="eastAsia" w:ascii="黑体" w:eastAsia="黑体" w:cs="黑体"/>
          <w:kern w:val="0"/>
          <w:szCs w:val="21"/>
        </w:rPr>
        <w:t>表2 电缆铠装、外护套选择</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89"/>
        <w:gridCol w:w="3190"/>
        <w:gridCol w:w="3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trPr>
        <w:tc>
          <w:tcPr>
            <w:tcW w:w="1666"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5" w:name="_Toc8672"/>
            <w:r>
              <w:rPr>
                <w:rFonts w:hint="eastAsia" w:asciiTheme="minorEastAsia" w:hAnsiTheme="minorEastAsia" w:eastAsiaTheme="minorEastAsia"/>
                <w:sz w:val="18"/>
                <w:szCs w:val="18"/>
              </w:rPr>
              <w:t>敷设方式</w:t>
            </w:r>
            <w:bookmarkEnd w:id="95"/>
          </w:p>
        </w:tc>
        <w:tc>
          <w:tcPr>
            <w:tcW w:w="1666"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6" w:name="_Toc19962"/>
            <w:r>
              <w:rPr>
                <w:rFonts w:hint="eastAsia" w:asciiTheme="minorEastAsia" w:hAnsiTheme="minorEastAsia" w:eastAsiaTheme="minorEastAsia"/>
                <w:sz w:val="18"/>
                <w:szCs w:val="18"/>
              </w:rPr>
              <w:t>铠装</w:t>
            </w:r>
            <w:r>
              <w:rPr>
                <w:rFonts w:asciiTheme="minorEastAsia" w:hAnsiTheme="minorEastAsia" w:eastAsiaTheme="minorEastAsia"/>
                <w:sz w:val="18"/>
                <w:szCs w:val="18"/>
              </w:rPr>
              <w:t>/</w:t>
            </w:r>
            <w:r>
              <w:rPr>
                <w:rFonts w:hint="eastAsia" w:asciiTheme="minorEastAsia" w:hAnsiTheme="minorEastAsia" w:eastAsiaTheme="minorEastAsia"/>
                <w:sz w:val="18"/>
                <w:szCs w:val="18"/>
              </w:rPr>
              <w:t>无铠</w:t>
            </w:r>
            <w:bookmarkEnd w:id="96"/>
          </w:p>
        </w:tc>
        <w:tc>
          <w:tcPr>
            <w:tcW w:w="1667"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7" w:name="_Toc4492"/>
            <w:r>
              <w:rPr>
                <w:rFonts w:hint="eastAsia" w:asciiTheme="minorEastAsia" w:hAnsiTheme="minorEastAsia" w:eastAsiaTheme="minorEastAsia"/>
                <w:sz w:val="18"/>
                <w:szCs w:val="18"/>
              </w:rPr>
              <w:t>外护套</w:t>
            </w:r>
            <w:bookmarkEnd w:id="9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1666"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8" w:name="_Toc31842"/>
            <w:r>
              <w:rPr>
                <w:rFonts w:hint="eastAsia" w:asciiTheme="minorEastAsia" w:hAnsiTheme="minorEastAsia" w:eastAsiaTheme="minorEastAsia"/>
                <w:sz w:val="18"/>
                <w:szCs w:val="18"/>
              </w:rPr>
              <w:t>桥架</w:t>
            </w:r>
            <w:bookmarkEnd w:id="98"/>
          </w:p>
        </w:tc>
        <w:tc>
          <w:tcPr>
            <w:tcW w:w="1666"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99" w:name="_Toc13230"/>
            <w:r>
              <w:rPr>
                <w:rFonts w:hint="eastAsia" w:asciiTheme="minorEastAsia" w:hAnsiTheme="minorEastAsia" w:eastAsiaTheme="minorEastAsia"/>
                <w:sz w:val="18"/>
                <w:szCs w:val="18"/>
              </w:rPr>
              <w:t>无铠装</w:t>
            </w:r>
            <w:bookmarkEnd w:id="99"/>
          </w:p>
        </w:tc>
        <w:tc>
          <w:tcPr>
            <w:tcW w:w="1667"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100" w:name="_Toc7440"/>
            <w:r>
              <w:rPr>
                <w:rFonts w:hint="eastAsia" w:asciiTheme="minorEastAsia" w:hAnsiTheme="minorEastAsia" w:eastAsiaTheme="minorEastAsia"/>
                <w:sz w:val="18"/>
                <w:szCs w:val="18"/>
              </w:rPr>
              <w:t>聚氯乙烯或聚乙烯</w:t>
            </w:r>
            <w:bookmarkEnd w:id="10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666"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101" w:name="_Toc3849"/>
            <w:r>
              <w:rPr>
                <w:rFonts w:hint="eastAsia" w:asciiTheme="minorEastAsia" w:hAnsiTheme="minorEastAsia" w:eastAsiaTheme="minorEastAsia"/>
                <w:sz w:val="18"/>
                <w:szCs w:val="18"/>
              </w:rPr>
              <w:t>排管、电缆沟</w:t>
            </w:r>
            <w:bookmarkEnd w:id="101"/>
          </w:p>
        </w:tc>
        <w:tc>
          <w:tcPr>
            <w:tcW w:w="1666"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102" w:name="_Toc23286"/>
            <w:r>
              <w:rPr>
                <w:rFonts w:hint="eastAsia" w:asciiTheme="minorEastAsia" w:hAnsiTheme="minorEastAsia" w:eastAsiaTheme="minorEastAsia"/>
                <w:sz w:val="18"/>
                <w:szCs w:val="18"/>
              </w:rPr>
              <w:t>铠装</w:t>
            </w:r>
            <w:bookmarkEnd w:id="102"/>
          </w:p>
        </w:tc>
        <w:tc>
          <w:tcPr>
            <w:tcW w:w="1667" w:type="pct"/>
          </w:tcPr>
          <w:p>
            <w:pPr>
              <w:pStyle w:val="127"/>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asciiTheme="minorEastAsia" w:hAnsiTheme="minorEastAsia" w:eastAsiaTheme="minorEastAsia"/>
                <w:sz w:val="18"/>
                <w:szCs w:val="18"/>
              </w:rPr>
            </w:pPr>
            <w:bookmarkStart w:id="103" w:name="_Toc19734"/>
            <w:r>
              <w:rPr>
                <w:rFonts w:hint="eastAsia" w:asciiTheme="minorEastAsia" w:hAnsiTheme="minorEastAsia" w:eastAsiaTheme="minorEastAsia"/>
                <w:sz w:val="18"/>
                <w:szCs w:val="18"/>
              </w:rPr>
              <w:t>聚氯乙烯或聚乙烯</w:t>
            </w:r>
            <w:bookmarkEnd w:id="103"/>
          </w:p>
        </w:tc>
      </w:tr>
    </w:tbl>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pPr>
      <w:bookmarkStart w:id="104" w:name="_Toc686"/>
      <w:r>
        <w:rPr>
          <w:rFonts w:hint="eastAsia"/>
        </w:rPr>
        <w:t>5</w:t>
      </w:r>
      <w:r>
        <w:t>.5.</w:t>
      </w:r>
      <w:r>
        <w:rPr>
          <w:rFonts w:hint="eastAsia"/>
        </w:rPr>
        <w:t>3</w:t>
      </w:r>
      <w:r>
        <w:t xml:space="preserve"> </w:t>
      </w:r>
      <w:r>
        <w:rPr>
          <w:rFonts w:hint="eastAsia"/>
        </w:rPr>
        <w:t xml:space="preserve"> 电缆截面选择</w:t>
      </w:r>
      <w:bookmarkEnd w:id="104"/>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电缆截面配置原则</w:t>
      </w:r>
    </w:p>
    <w:p>
      <w:pPr>
        <w:autoSpaceDE w:val="0"/>
        <w:autoSpaceDN w:val="0"/>
        <w:adjustRightInd w:val="0"/>
        <w:ind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电缆导体截面的选择，应同时满足规划载流量和通过可能的最大短路电流时热稳定的要求；连接回路在最大工作电流作用下的电压降，不得超过该回路允许值。采用单回路双拼电缆时，两根电缆应等长，并采用相同材质、相同截面的导体。</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单根电缆供电容量计算方法</w:t>
      </w:r>
    </w:p>
    <w:p>
      <w:pPr>
        <w:pStyle w:val="127"/>
        <w:keepNext w:val="0"/>
        <w:keepLines w:val="0"/>
        <w:pageBreakBefore w:val="0"/>
        <w:widowControl/>
        <w:kinsoku/>
        <w:wordWrap/>
        <w:overflowPunct/>
        <w:topLinePunct w:val="0"/>
        <w:autoSpaceDE/>
        <w:autoSpaceDN/>
        <w:bidi w:val="0"/>
        <w:adjustRightInd/>
        <w:snapToGrid/>
        <w:spacing w:before="156" w:beforeLines="50" w:after="156" w:afterLines="50"/>
        <w:jc w:val="right"/>
        <w:textAlignment w:val="auto"/>
        <w:outlineLvl w:val="9"/>
        <w:rPr>
          <w:rFonts w:hint="eastAsia" w:asciiTheme="minorEastAsia" w:hAnsiTheme="minorEastAsia" w:eastAsiaTheme="minorEastAsia"/>
        </w:rPr>
      </w:pPr>
      <w:r>
        <w:rPr>
          <w:rFonts w:hint="eastAsia" w:asciiTheme="minorEastAsia" w:hAnsiTheme="minorEastAsia" w:eastAsiaTheme="minorEastAsia"/>
        </w:rPr>
        <w:t xml:space="preserve">    </w:t>
      </w:r>
      <m:oMath>
        <w:bookmarkStart w:id="105" w:name="_Toc21739"/>
        <m:r>
          <m:rPr>
            <m:nor/>
            <m:sty m:val="p"/>
          </m:rPr>
          <w:rPr>
            <w:rFonts w:asciiTheme="minorEastAsia" w:hAnsiTheme="minorEastAsia" w:eastAsiaTheme="minorEastAsia"/>
            <w:b w:val="0"/>
            <w:i w:val="0"/>
          </w:rPr>
          <m:t>S=</m:t>
        </m:r>
        <m:f>
          <m:fPr>
            <m:ctrlPr>
              <w:rPr>
                <w:rFonts w:ascii="Cambria Math" w:hAnsi="Cambria Math" w:eastAsiaTheme="minorEastAsia"/>
                <w:i/>
              </w:rPr>
            </m:ctrlPr>
          </m:fPr>
          <m:num>
            <m:nary>
              <m:naryPr>
                <m:chr m:val="∑"/>
                <m:limLoc m:val="undOvr"/>
                <m:subHide m:val="1"/>
                <m:supHide m:val="1"/>
                <m:ctrlPr>
                  <w:rPr>
                    <w:rFonts w:ascii="Cambria Math" w:hAnsi="Cambria Math" w:eastAsiaTheme="minorEastAsia"/>
                    <w:i/>
                  </w:rPr>
                </m:ctrlPr>
              </m:naryPr>
              <m:sub>
                <m:ctrlPr>
                  <w:rPr>
                    <w:rFonts w:ascii="Cambria Math" w:hAnsi="Cambria Math" w:eastAsiaTheme="minorEastAsia"/>
                    <w:i/>
                  </w:rPr>
                </m:ctrlPr>
              </m:sub>
              <m:sup>
                <m:ctrlPr>
                  <w:rPr>
                    <w:rFonts w:ascii="Cambria Math" w:hAnsi="Cambria Math" w:eastAsiaTheme="minorEastAsia"/>
                    <w:i/>
                  </w:rPr>
                </m:ctrlPr>
              </m:sup>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n</m:t>
                    </m:r>
                    <m:ctrlPr>
                      <w:rPr>
                        <w:rFonts w:ascii="Cambria Math" w:hAnsi="Cambria Math" w:eastAsiaTheme="minorEastAsia"/>
                        <w:i/>
                      </w:rPr>
                    </m:ctrlPr>
                  </m:sub>
                </m:sSub>
                <m:ctrlPr>
                  <w:rPr>
                    <w:rFonts w:ascii="Cambria Math" w:hAnsi="Cambria Math" w:eastAsiaTheme="minorEastAsia"/>
                    <w:i/>
                  </w:rPr>
                </m:ctrlPr>
              </m:e>
            </m:nary>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K</m:t>
                </m:r>
                <m:ctrlPr>
                  <w:rPr>
                    <w:rFonts w:ascii="Cambria Math" w:hAnsi="Cambria Math" w:eastAsiaTheme="minorEastAsia"/>
                    <w:i/>
                  </w:rPr>
                </m:ctrlPr>
              </m:e>
              <m:sub>
                <m:r>
                  <m:rPr/>
                  <w:rPr>
                    <w:rFonts w:ascii="Cambria Math" w:hAnsi="Cambria Math" w:eastAsiaTheme="minorEastAsia"/>
                  </w:rPr>
                  <m:t>t</m:t>
                </m:r>
                <m:ctrlPr>
                  <w:rPr>
                    <w:rFonts w:ascii="Cambria Math" w:hAnsi="Cambria Math" w:eastAsiaTheme="minorEastAsia"/>
                    <w:i/>
                  </w:rPr>
                </m:ctrlPr>
              </m:sub>
            </m:sSub>
            <m:ctrlPr>
              <w:rPr>
                <w:rFonts w:ascii="Cambria Math" w:hAnsi="Cambria Math" w:eastAsiaTheme="minorEastAsia"/>
              </w:rPr>
            </m:ctrlPr>
          </m:num>
          <m:den>
            <m:sSub>
              <m:sSubPr>
                <m:ctrlPr>
                  <w:rPr>
                    <w:rFonts w:ascii="Cambria Math" w:hAnsi="Cambria Math" w:eastAsiaTheme="minorEastAsia"/>
                    <w:i/>
                  </w:rPr>
                </m:ctrlPr>
              </m:sSubPr>
              <m:e>
                <m:r>
                  <m:rPr/>
                  <w:rPr>
                    <w:rFonts w:ascii="Cambria Math" w:hAnsi="Cambria Math" w:eastAsiaTheme="minorEastAsia"/>
                  </w:rPr>
                  <m:t>β</m:t>
                </m:r>
                <m:ctrlPr>
                  <w:rPr>
                    <w:rFonts w:ascii="Cambria Math" w:hAnsi="Cambria Math" w:eastAsiaTheme="minorEastAsia"/>
                    <w:i/>
                  </w:rPr>
                </m:ctrlPr>
              </m:e>
              <m:sub>
                <m:r>
                  <m:rPr/>
                  <w:rPr>
                    <w:rFonts w:ascii="Cambria Math" w:hAnsi="Cambria Math" w:eastAsiaTheme="minorEastAsia"/>
                  </w:rPr>
                  <m:t>b</m:t>
                </m:r>
                <m:ctrlPr>
                  <w:rPr>
                    <w:rFonts w:ascii="Cambria Math" w:hAnsi="Cambria Math" w:eastAsiaTheme="minorEastAsia"/>
                    <w:i/>
                  </w:rPr>
                </m:ctrlPr>
              </m:sub>
            </m:sSub>
            <m:r>
              <m:rPr>
                <m:nor/>
                <m:sty m:val="p"/>
              </m:rPr>
              <w:rPr>
                <w:rFonts w:asciiTheme="minorEastAsia" w:hAnsiTheme="minorEastAsia" w:eastAsiaTheme="minorEastAsia"/>
                <w:b w:val="0"/>
                <w:i w:val="0"/>
              </w:rPr>
              <m:t>×</m:t>
            </m:r>
            <m:func>
              <m:funcPr>
                <m:ctrlPr>
                  <w:rPr>
                    <w:rFonts w:ascii="Cambria Math" w:hAnsi="Cambria Math" w:eastAsiaTheme="minorEastAsia"/>
                    <w:i/>
                  </w:rPr>
                </m:ctrlPr>
              </m:funcPr>
              <m:fName>
                <m:r>
                  <m:rPr>
                    <m:nor/>
                    <m:sty m:val="p"/>
                  </m:rPr>
                  <w:rPr>
                    <w:rFonts w:asciiTheme="minorEastAsia" w:hAnsiTheme="minorEastAsia" w:eastAsiaTheme="minorEastAsia"/>
                    <w:b w:val="0"/>
                    <w:i w:val="0"/>
                  </w:rPr>
                  <m:t>cos</m:t>
                </m:r>
                <m:ctrlPr>
                  <w:rPr>
                    <w:rFonts w:ascii="Cambria Math" w:hAnsi="Cambria Math" w:eastAsiaTheme="minorEastAsia"/>
                  </w:rPr>
                </m:ctrlPr>
              </m:fName>
              <m:e>
                <m:r>
                  <m:rPr>
                    <m:nor/>
                    <m:sty m:val="p"/>
                  </m:rPr>
                  <w:rPr>
                    <w:rFonts w:ascii="Cambria Math" w:hAnsi="Cambria Math" w:eastAsia="MS Mincho" w:cs="MS Mincho"/>
                    <w:b w:val="0"/>
                    <w:i w:val="0"/>
                  </w:rPr>
                  <m:t>θ</m:t>
                </m:r>
                <m:ctrlPr>
                  <w:rPr>
                    <w:rFonts w:ascii="Cambria Math" w:hAnsi="Cambria Math" w:eastAsiaTheme="minorEastAsia"/>
                    <w:i/>
                  </w:rPr>
                </m:ctrlPr>
              </m:e>
            </m:func>
            <m:r>
              <m:rPr>
                <m:nor/>
                <m:sty m:val="p"/>
              </m:rPr>
              <w:rPr>
                <w:rFonts w:asciiTheme="minorEastAsia" w:hAnsiTheme="minorEastAsia" w:eastAsiaTheme="minorEastAsia"/>
                <w:b w:val="0"/>
                <w:i w:val="0"/>
              </w:rPr>
              <m:t>×</m:t>
            </m:r>
            <m:r>
              <m:rPr>
                <m:nor/>
                <m:sty m:val="p"/>
              </m:rPr>
              <w:rPr>
                <w:rFonts w:hint="eastAsia" w:asciiTheme="minorEastAsia" w:hAnsiTheme="minorEastAsia" w:eastAsiaTheme="minorEastAsia"/>
                <w:b w:val="0"/>
                <w:i w:val="0"/>
              </w:rPr>
              <m:t>η</m:t>
            </m:r>
            <m:ctrlPr>
              <w:rPr>
                <w:rFonts w:ascii="Cambria Math" w:hAnsi="Cambria Math" w:eastAsiaTheme="minorEastAsia"/>
                <w:i/>
              </w:rPr>
            </m:ctrlPr>
          </m:den>
        </m:f>
      </m:oMath>
      <w:r>
        <w:rPr>
          <w:rFonts w:hint="eastAsia" w:asciiTheme="minorEastAsia" w:hAnsiTheme="minorEastAsia" w:eastAsiaTheme="minorEastAsia"/>
        </w:rPr>
        <w:t xml:space="preserve">                           </w:t>
      </w:r>
      <w:r>
        <w:rPr>
          <w:rFonts w:asciiTheme="minorEastAsia" w:hAnsiTheme="minorEastAsia" w:eastAsiaTheme="minorEastAsia"/>
        </w:rPr>
        <w:t>………</w:t>
      </w:r>
      <w:r>
        <w:rPr>
          <w:rFonts w:hint="eastAsia" w:asciiTheme="minorEastAsia" w:hAnsiTheme="minorEastAsia" w:eastAsiaTheme="minorEastAsia"/>
        </w:rPr>
        <w:t>(2)</w:t>
      </w:r>
      <w:bookmarkEnd w:id="105"/>
    </w:p>
    <w:p>
      <w:pPr>
        <w:autoSpaceDE w:val="0"/>
        <w:autoSpaceDN w:val="0"/>
        <w:adjustRightInd w:val="0"/>
        <w:ind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其中：</w:t>
      </w:r>
    </w:p>
    <w:p>
      <w:pPr>
        <w:autoSpaceDE w:val="0"/>
        <w:autoSpaceDN w:val="0"/>
        <w:adjustRightInd w:val="0"/>
        <w:ind w:firstLine="420" w:firstLineChars="200"/>
        <w:jc w:val="left"/>
        <w:rPr>
          <w:rFonts w:asciiTheme="minorEastAsia" w:hAnsiTheme="minorEastAsia" w:eastAsiaTheme="minorEastAsia"/>
          <w:kern w:val="0"/>
          <w:szCs w:val="21"/>
        </w:rPr>
      </w:pPr>
      <m:oMath>
        <m:r>
          <m:rPr>
            <m:nor/>
            <m:sty m:val="p"/>
          </m:rPr>
          <w:rPr>
            <w:rFonts w:asciiTheme="minorEastAsia" w:hAnsiTheme="minorEastAsia" w:eastAsiaTheme="minorEastAsia"/>
            <w:b w:val="0"/>
            <w:i w:val="0"/>
          </w:rPr>
          <m:t>S</m:t>
        </m:r>
      </m:oMath>
      <w:r>
        <w:rPr>
          <w:rFonts w:hint="eastAsia" w:asciiTheme="minorEastAsia" w:hAnsiTheme="minorEastAsia" w:eastAsiaTheme="minorEastAsia"/>
          <w:kern w:val="0"/>
          <w:szCs w:val="21"/>
        </w:rPr>
        <w:t>-单根电缆供电容量；</w:t>
      </w:r>
    </w:p>
    <w:p>
      <w:pPr>
        <w:autoSpaceDE w:val="0"/>
        <w:autoSpaceDN w:val="0"/>
        <w:adjustRightInd w:val="0"/>
        <w:ind w:firstLine="420" w:firstLineChars="200"/>
        <w:jc w:val="left"/>
        <w:rPr>
          <w:rFonts w:asciiTheme="minorEastAsia" w:hAnsiTheme="minorEastAsia" w:eastAsiaTheme="minorEastAsia"/>
          <w:kern w:val="0"/>
          <w:szCs w:val="21"/>
        </w:rPr>
      </w:pPr>
      <m:oMath>
        <m:nary>
          <m:naryPr>
            <m:chr m:val="∑"/>
            <m:limLoc m:val="undOvr"/>
            <m:subHide m:val="1"/>
            <m:supHide m:val="1"/>
            <m:ctrlPr>
              <w:rPr>
                <w:rFonts w:ascii="Cambria Math" w:hAnsi="Cambria Math" w:eastAsiaTheme="minorEastAsia"/>
                <w:i/>
                <w:kern w:val="0"/>
                <w:szCs w:val="20"/>
              </w:rPr>
            </m:ctrlPr>
          </m:naryPr>
          <m:sub>
            <m:ctrlPr>
              <w:rPr>
                <w:rFonts w:ascii="Cambria Math" w:hAnsi="Cambria Math" w:eastAsiaTheme="minorEastAsia"/>
                <w:i/>
                <w:kern w:val="0"/>
                <w:szCs w:val="20"/>
              </w:rPr>
            </m:ctrlPr>
          </m:sub>
          <m:sup>
            <m:ctrlPr>
              <w:rPr>
                <w:rFonts w:ascii="Cambria Math" w:hAnsi="Cambria Math" w:eastAsiaTheme="minorEastAsia"/>
                <w:i/>
                <w:kern w:val="0"/>
                <w:szCs w:val="20"/>
              </w:rPr>
            </m:ctrlPr>
          </m:sup>
          <m:e>
            <m:sSub>
              <m:sSubPr>
                <m:ctrlPr>
                  <w:rPr>
                    <w:rFonts w:ascii="Cambria Math" w:hAnsi="Cambria Math" w:eastAsiaTheme="minorEastAsia"/>
                    <w:i/>
                    <w:kern w:val="0"/>
                    <w:szCs w:val="20"/>
                  </w:rPr>
                </m:ctrlPr>
              </m:sSubPr>
              <m:e>
                <m:r>
                  <m:rPr/>
                  <w:rPr>
                    <w:rFonts w:ascii="Cambria Math" w:hAnsi="Cambria Math" w:eastAsiaTheme="minorEastAsia"/>
                  </w:rPr>
                  <m:t>P</m:t>
                </m:r>
                <m:ctrlPr>
                  <w:rPr>
                    <w:rFonts w:ascii="Cambria Math" w:hAnsi="Cambria Math" w:eastAsiaTheme="minorEastAsia"/>
                    <w:i/>
                    <w:kern w:val="0"/>
                    <w:szCs w:val="20"/>
                  </w:rPr>
                </m:ctrlPr>
              </m:e>
              <m:sub>
                <m:r>
                  <m:rPr/>
                  <w:rPr>
                    <w:rFonts w:ascii="Cambria Math" w:hAnsi="Cambria Math" w:eastAsiaTheme="minorEastAsia"/>
                  </w:rPr>
                  <m:t>n</m:t>
                </m:r>
                <m:ctrlPr>
                  <w:rPr>
                    <w:rFonts w:ascii="Cambria Math" w:hAnsi="Cambria Math" w:eastAsiaTheme="minorEastAsia"/>
                    <w:i/>
                    <w:kern w:val="0"/>
                    <w:szCs w:val="20"/>
                  </w:rPr>
                </m:ctrlPr>
              </m:sub>
            </m:sSub>
            <m:ctrlPr>
              <w:rPr>
                <w:rFonts w:ascii="Cambria Math" w:hAnsi="Cambria Math" w:eastAsiaTheme="minorEastAsia"/>
                <w:i/>
                <w:kern w:val="0"/>
                <w:szCs w:val="20"/>
              </w:rPr>
            </m:ctrlPr>
          </m:e>
        </m:nary>
      </m:oMath>
      <w:r>
        <w:rPr>
          <w:rFonts w:asciiTheme="minorEastAsia" w:hAnsiTheme="minorEastAsia" w:eastAsiaTheme="minorEastAsia"/>
          <w:kern w:val="0"/>
          <w:szCs w:val="21"/>
        </w:rPr>
        <w:t>-</w:t>
      </w:r>
      <w:r>
        <w:rPr>
          <w:rFonts w:hint="eastAsia" w:asciiTheme="minorEastAsia" w:hAnsiTheme="minorEastAsia" w:eastAsiaTheme="minorEastAsia"/>
          <w:kern w:val="0"/>
          <w:szCs w:val="21"/>
        </w:rPr>
        <w:t>供电范围内充电设施负荷</w:t>
      </w:r>
      <w:r>
        <w:rPr>
          <w:rFonts w:asciiTheme="minorEastAsia" w:hAnsiTheme="minorEastAsia" w:eastAsiaTheme="minorEastAsia"/>
          <w:kern w:val="0"/>
          <w:szCs w:val="21"/>
        </w:rPr>
        <w:t>(</w:t>
      </w:r>
      <w:r>
        <w:rPr>
          <w:rFonts w:hint="eastAsia" w:asciiTheme="minorEastAsia" w:hAnsiTheme="minorEastAsia" w:eastAsiaTheme="minorEastAsia"/>
          <w:kern w:val="0"/>
          <w:szCs w:val="21"/>
        </w:rPr>
        <w:t>按单户容量配置标准计算出的配置容量</w:t>
      </w:r>
      <w:r>
        <w:rPr>
          <w:rFonts w:asciiTheme="minorEastAsia" w:hAnsiTheme="minorEastAsia" w:eastAsiaTheme="minorEastAsia"/>
          <w:kern w:val="0"/>
          <w:szCs w:val="21"/>
        </w:rPr>
        <w:t>)</w:t>
      </w:r>
    </w:p>
    <w:p>
      <w:pPr>
        <w:autoSpaceDE w:val="0"/>
        <w:autoSpaceDN w:val="0"/>
        <w:adjustRightInd w:val="0"/>
        <w:ind w:firstLine="420" w:firstLineChars="200"/>
        <w:jc w:val="left"/>
        <w:rPr>
          <w:rFonts w:asciiTheme="minorEastAsia" w:hAnsiTheme="minorEastAsia" w:eastAsiaTheme="minorEastAsia"/>
          <w:kern w:val="0"/>
          <w:szCs w:val="21"/>
        </w:rPr>
      </w:pPr>
      <m:oMath>
        <m:sSub>
          <m:sSubPr>
            <m:ctrlPr>
              <w:rPr>
                <w:rFonts w:ascii="Cambria Math" w:hAnsi="Cambria Math" w:eastAsiaTheme="minorEastAsia"/>
                <w:i/>
                <w:kern w:val="0"/>
                <w:szCs w:val="20"/>
              </w:rPr>
            </m:ctrlPr>
          </m:sSubPr>
          <m:e>
            <m:r>
              <m:rPr/>
              <w:rPr>
                <w:rFonts w:ascii="Cambria Math" w:hAnsi="Cambria Math" w:eastAsiaTheme="minorEastAsia"/>
              </w:rPr>
              <m:t>K</m:t>
            </m:r>
            <m:ctrlPr>
              <w:rPr>
                <w:rFonts w:ascii="Cambria Math" w:hAnsi="Cambria Math" w:eastAsiaTheme="minorEastAsia"/>
                <w:i/>
                <w:kern w:val="0"/>
                <w:szCs w:val="20"/>
              </w:rPr>
            </m:ctrlPr>
          </m:e>
          <m:sub>
            <m:r>
              <m:rPr/>
              <w:rPr>
                <w:rFonts w:ascii="Cambria Math" w:hAnsi="Cambria Math" w:eastAsiaTheme="minorEastAsia"/>
              </w:rPr>
              <m:t>t</m:t>
            </m:r>
            <m:ctrlPr>
              <w:rPr>
                <w:rFonts w:ascii="Cambria Math" w:hAnsi="Cambria Math" w:eastAsiaTheme="minorEastAsia"/>
                <w:i/>
                <w:kern w:val="0"/>
                <w:szCs w:val="20"/>
              </w:rPr>
            </m:ctrlPr>
          </m:sub>
        </m:sSub>
      </m:oMath>
      <w:r>
        <w:rPr>
          <w:rFonts w:asciiTheme="minorEastAsia" w:hAnsiTheme="minorEastAsia" w:eastAsiaTheme="minorEastAsia"/>
          <w:kern w:val="0"/>
          <w:szCs w:val="21"/>
        </w:rPr>
        <w:t>-</w:t>
      </w:r>
      <w:r>
        <w:rPr>
          <w:rFonts w:hint="eastAsia" w:asciiTheme="minorEastAsia" w:hAnsiTheme="minorEastAsia" w:eastAsiaTheme="minorEastAsia"/>
          <w:kern w:val="0"/>
          <w:szCs w:val="21"/>
        </w:rPr>
        <w:t>同时系数，应根据各地区实际情况确定；</w:t>
      </w:r>
    </w:p>
    <w:p>
      <w:pPr>
        <w:autoSpaceDE w:val="0"/>
        <w:autoSpaceDN w:val="0"/>
        <w:adjustRightInd w:val="0"/>
        <w:ind w:firstLine="420" w:firstLineChars="200"/>
        <w:jc w:val="left"/>
        <w:rPr>
          <w:rFonts w:asciiTheme="minorEastAsia" w:hAnsiTheme="minorEastAsia" w:eastAsiaTheme="minorEastAsia"/>
          <w:kern w:val="0"/>
          <w:szCs w:val="21"/>
        </w:rPr>
      </w:pPr>
      <m:oMath>
        <m:sSub>
          <m:sSubPr>
            <m:ctrlPr>
              <w:rPr>
                <w:rFonts w:ascii="Cambria Math" w:hAnsi="Cambria Math" w:eastAsiaTheme="minorEastAsia"/>
                <w:i/>
                <w:kern w:val="0"/>
                <w:szCs w:val="20"/>
              </w:rPr>
            </m:ctrlPr>
          </m:sSubPr>
          <m:e>
            <m:r>
              <m:rPr/>
              <w:rPr>
                <w:rFonts w:ascii="Cambria Math" w:hAnsi="Cambria Math" w:eastAsiaTheme="minorEastAsia"/>
              </w:rPr>
              <m:t>β</m:t>
            </m:r>
            <m:ctrlPr>
              <w:rPr>
                <w:rFonts w:ascii="Cambria Math" w:hAnsi="Cambria Math" w:eastAsiaTheme="minorEastAsia"/>
                <w:i/>
                <w:kern w:val="0"/>
                <w:szCs w:val="20"/>
              </w:rPr>
            </m:ctrlPr>
          </m:e>
          <m:sub>
            <m:r>
              <m:rPr/>
              <w:rPr>
                <w:rFonts w:ascii="Cambria Math" w:hAnsi="Cambria Math" w:eastAsiaTheme="minorEastAsia"/>
              </w:rPr>
              <m:t>b</m:t>
            </m:r>
            <m:ctrlPr>
              <w:rPr>
                <w:rFonts w:ascii="Cambria Math" w:hAnsi="Cambria Math" w:eastAsiaTheme="minorEastAsia"/>
                <w:i/>
                <w:kern w:val="0"/>
                <w:szCs w:val="20"/>
              </w:rPr>
            </m:ctrlPr>
          </m:sub>
        </m:sSub>
      </m:oMath>
      <w:r>
        <w:rPr>
          <w:rFonts w:asciiTheme="minorEastAsia" w:hAnsiTheme="minorEastAsia" w:eastAsiaTheme="minorEastAsia"/>
          <w:kern w:val="0"/>
          <w:szCs w:val="21"/>
        </w:rPr>
        <w:t>-</w:t>
      </w:r>
      <w:r>
        <w:rPr>
          <w:rFonts w:hint="eastAsia" w:asciiTheme="minorEastAsia" w:hAnsiTheme="minorEastAsia" w:eastAsiaTheme="minorEastAsia"/>
          <w:kern w:val="0"/>
          <w:szCs w:val="21"/>
        </w:rPr>
        <w:t>变压器负载率，根据相关规范，建议采用</w:t>
      </w:r>
      <w:r>
        <w:rPr>
          <w:rFonts w:asciiTheme="minorEastAsia" w:hAnsiTheme="minorEastAsia" w:eastAsiaTheme="minorEastAsia"/>
          <w:kern w:val="0"/>
          <w:szCs w:val="21"/>
        </w:rPr>
        <w:t>0.85</w:t>
      </w:r>
      <w:r>
        <w:rPr>
          <w:rFonts w:hint="eastAsia" w:asciiTheme="minorEastAsia" w:hAnsiTheme="minorEastAsia" w:eastAsiaTheme="minorEastAsia"/>
          <w:kern w:val="0"/>
          <w:szCs w:val="21"/>
        </w:rPr>
        <w:t>；</w:t>
      </w:r>
    </w:p>
    <w:p>
      <w:pPr>
        <w:autoSpaceDE w:val="0"/>
        <w:autoSpaceDN w:val="0"/>
        <w:adjustRightInd w:val="0"/>
        <w:ind w:firstLine="420" w:firstLineChars="200"/>
        <w:jc w:val="left"/>
        <w:rPr>
          <w:rFonts w:asciiTheme="minorEastAsia" w:hAnsiTheme="minorEastAsia" w:eastAsiaTheme="minorEastAsia"/>
          <w:kern w:val="0"/>
          <w:szCs w:val="21"/>
        </w:rPr>
      </w:pPr>
      <m:oMath>
        <m:func>
          <m:funcPr>
            <m:ctrlPr>
              <w:rPr>
                <w:rFonts w:ascii="Cambria Math" w:hAnsi="Cambria Math" w:eastAsiaTheme="minorEastAsia"/>
                <w:i/>
              </w:rPr>
            </m:ctrlPr>
          </m:funcPr>
          <m:fName>
            <m:r>
              <m:rPr>
                <m:nor/>
                <m:sty m:val="p"/>
              </m:rPr>
              <w:rPr>
                <w:rFonts w:asciiTheme="minorEastAsia" w:hAnsiTheme="minorEastAsia" w:eastAsiaTheme="minorEastAsia"/>
                <w:b w:val="0"/>
                <w:i w:val="0"/>
              </w:rPr>
              <m:t>cos</m:t>
            </m:r>
            <m:ctrlPr>
              <w:rPr>
                <w:rFonts w:ascii="Cambria Math" w:hAnsi="Cambria Math" w:eastAsiaTheme="minorEastAsia"/>
              </w:rPr>
            </m:ctrlPr>
          </m:fName>
          <m:e>
            <m:r>
              <m:rPr>
                <m:nor/>
                <m:sty m:val="p"/>
              </m:rPr>
              <w:rPr>
                <w:rFonts w:ascii="Cambria Math" w:hAnsi="Cambria Math" w:eastAsia="MS Mincho" w:cs="MS Mincho"/>
                <w:b w:val="0"/>
                <w:i w:val="0"/>
              </w:rPr>
              <m:t>θ</m:t>
            </m:r>
            <m:ctrlPr>
              <w:rPr>
                <w:rFonts w:ascii="Cambria Math" w:hAnsi="Cambria Math" w:eastAsiaTheme="minorEastAsia"/>
                <w:i/>
              </w:rPr>
            </m:ctrlPr>
          </m:e>
        </m:func>
      </m:oMath>
      <w:r>
        <w:rPr>
          <w:rFonts w:asciiTheme="minorEastAsia" w:hAnsiTheme="minorEastAsia" w:eastAsiaTheme="minorEastAsia"/>
          <w:kern w:val="0"/>
          <w:szCs w:val="21"/>
        </w:rPr>
        <w:t>-</w:t>
      </w:r>
      <w:r>
        <w:rPr>
          <w:rFonts w:hint="eastAsia" w:asciiTheme="minorEastAsia" w:hAnsiTheme="minorEastAsia" w:eastAsiaTheme="minorEastAsia"/>
          <w:kern w:val="0"/>
          <w:szCs w:val="21"/>
        </w:rPr>
        <w:t>功率因数，根据相关规范，建议采用</w:t>
      </w:r>
      <w:r>
        <w:rPr>
          <w:rFonts w:asciiTheme="minorEastAsia" w:hAnsiTheme="minorEastAsia" w:eastAsiaTheme="minorEastAsia"/>
          <w:kern w:val="0"/>
          <w:szCs w:val="21"/>
        </w:rPr>
        <w:t>0.92</w:t>
      </w:r>
      <w:r>
        <w:rPr>
          <w:rFonts w:hint="eastAsia" w:asciiTheme="minorEastAsia" w:hAnsiTheme="minorEastAsia" w:eastAsiaTheme="minorEastAsia"/>
          <w:kern w:val="0"/>
          <w:szCs w:val="21"/>
        </w:rPr>
        <w:t>；</w:t>
      </w:r>
    </w:p>
    <w:p>
      <w:pPr>
        <w:autoSpaceDE w:val="0"/>
        <w:autoSpaceDN w:val="0"/>
        <w:adjustRightInd w:val="0"/>
        <w:ind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η</w:t>
      </w:r>
      <w:r>
        <w:rPr>
          <w:rFonts w:asciiTheme="minorEastAsia" w:hAnsiTheme="minorEastAsia" w:eastAsiaTheme="minorEastAsia"/>
          <w:kern w:val="0"/>
          <w:szCs w:val="21"/>
        </w:rPr>
        <w:t>-</w:t>
      </w:r>
      <w:r>
        <w:rPr>
          <w:rFonts w:hint="eastAsia" w:asciiTheme="minorEastAsia" w:hAnsiTheme="minorEastAsia" w:eastAsiaTheme="minorEastAsia"/>
          <w:kern w:val="0"/>
          <w:szCs w:val="21"/>
        </w:rPr>
        <w:t>使用效率，根据相关规范，建议采用</w:t>
      </w:r>
      <w:r>
        <w:rPr>
          <w:rFonts w:asciiTheme="minorEastAsia" w:hAnsiTheme="minorEastAsia" w:eastAsiaTheme="minorEastAsia"/>
          <w:kern w:val="0"/>
          <w:szCs w:val="21"/>
        </w:rPr>
        <w:t>0.9</w:t>
      </w:r>
      <w:r>
        <w:rPr>
          <w:rFonts w:hint="eastAsia" w:asciiTheme="minorEastAsia" w:hAnsiTheme="minorEastAsia" w:eastAsiaTheme="minorEastAsia"/>
          <w:kern w:val="0"/>
          <w:szCs w:val="21"/>
        </w:rPr>
        <w:t>；</w:t>
      </w:r>
    </w:p>
    <w:p>
      <w:pPr>
        <w:autoSpaceDE w:val="0"/>
        <w:autoSpaceDN w:val="0"/>
        <w:adjustRightInd w:val="0"/>
        <w:ind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注：同时系数应根据各地区实际情况确定，需求系数参照《电动汽车充电基础设施设</w:t>
      </w:r>
    </w:p>
    <w:p>
      <w:pPr>
        <w:autoSpaceDE w:val="0"/>
        <w:autoSpaceDN w:val="0"/>
        <w:adjustRightInd w:val="0"/>
        <w:ind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计与安装》</w:t>
      </w:r>
      <w:r>
        <w:rPr>
          <w:rFonts w:asciiTheme="minorEastAsia" w:hAnsiTheme="minorEastAsia" w:eastAsiaTheme="minorEastAsia"/>
          <w:kern w:val="0"/>
          <w:szCs w:val="21"/>
        </w:rPr>
        <w:t>18D705-2</w:t>
      </w:r>
      <w:r>
        <w:rPr>
          <w:rFonts w:hint="eastAsia" w:asciiTheme="minorEastAsia" w:hAnsiTheme="minorEastAsia" w:eastAsiaTheme="minorEastAsia"/>
          <w:kern w:val="0"/>
          <w:szCs w:val="21"/>
        </w:rPr>
        <w:t>，变压器负载率按照</w:t>
      </w:r>
      <w:r>
        <w:rPr>
          <w:rFonts w:asciiTheme="minorEastAsia" w:hAnsiTheme="minorEastAsia" w:eastAsiaTheme="minorEastAsia"/>
          <w:kern w:val="0"/>
          <w:szCs w:val="21"/>
        </w:rPr>
        <w:t>0.85</w:t>
      </w:r>
      <w:r>
        <w:rPr>
          <w:rFonts w:hint="eastAsia" w:asciiTheme="minorEastAsia" w:hAnsiTheme="minorEastAsia" w:eastAsiaTheme="minorEastAsia"/>
          <w:kern w:val="0"/>
          <w:szCs w:val="21"/>
        </w:rPr>
        <w:t>，功率因数按照</w:t>
      </w:r>
      <w:r>
        <w:rPr>
          <w:rFonts w:asciiTheme="minorEastAsia" w:hAnsiTheme="minorEastAsia" w:eastAsiaTheme="minorEastAsia"/>
          <w:kern w:val="0"/>
          <w:szCs w:val="21"/>
        </w:rPr>
        <w:t>0.92</w:t>
      </w:r>
      <w:r>
        <w:rPr>
          <w:rFonts w:hint="eastAsia" w:asciiTheme="minorEastAsia" w:hAnsiTheme="minorEastAsia" w:eastAsiaTheme="minorEastAsia"/>
          <w:kern w:val="0"/>
          <w:szCs w:val="21"/>
        </w:rPr>
        <w:t>，使用效率按照</w:t>
      </w:r>
      <w:r>
        <w:rPr>
          <w:rFonts w:asciiTheme="minorEastAsia" w:hAnsiTheme="minorEastAsia" w:eastAsiaTheme="minorEastAsia"/>
          <w:kern w:val="0"/>
          <w:szCs w:val="21"/>
        </w:rPr>
        <w:t>0.9</w:t>
      </w:r>
      <w:r>
        <w:rPr>
          <w:rFonts w:hint="eastAsia" w:asciiTheme="minorEastAsia" w:hAnsiTheme="minorEastAsia" w:eastAsiaTheme="minorEastAsia"/>
          <w:kern w:val="0"/>
          <w:szCs w:val="21"/>
        </w:rPr>
        <w:t>。</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 xml:space="preserve">(3) </w:t>
      </w:r>
      <w:r>
        <w:rPr>
          <w:rFonts w:hint="eastAsia" w:asciiTheme="minorEastAsia" w:hAnsiTheme="minorEastAsia" w:eastAsiaTheme="minorEastAsia"/>
          <w:kern w:val="0"/>
          <w:szCs w:val="21"/>
        </w:rPr>
        <w:t>单根电缆截面的配置</w:t>
      </w:r>
    </w:p>
    <w:p>
      <w:pPr>
        <w:autoSpaceDE w:val="0"/>
        <w:autoSpaceDN w:val="0"/>
        <w:adjustRightInd w:val="0"/>
        <w:ind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在上述计算供电容量的基础</w:t>
      </w:r>
      <w:r>
        <w:rPr>
          <w:rFonts w:hint="eastAsia" w:asciiTheme="minorEastAsia" w:hAnsiTheme="minorEastAsia" w:eastAsiaTheme="minorEastAsia"/>
          <w:kern w:val="0"/>
          <w:szCs w:val="21"/>
          <w:highlight w:val="none"/>
        </w:rPr>
        <w:t>上×</w:t>
      </w:r>
      <w:r>
        <w:rPr>
          <w:rFonts w:asciiTheme="minorEastAsia" w:hAnsiTheme="minorEastAsia" w:eastAsiaTheme="minorEastAsia"/>
          <w:kern w:val="0"/>
          <w:szCs w:val="21"/>
          <w:highlight w:val="none"/>
        </w:rPr>
        <w:t>1.2</w:t>
      </w:r>
      <w:r>
        <w:rPr>
          <w:rFonts w:hint="eastAsia" w:asciiTheme="minorEastAsia" w:hAnsiTheme="minorEastAsia" w:eastAsiaTheme="minorEastAsia"/>
          <w:kern w:val="0"/>
          <w:szCs w:val="21"/>
          <w:highlight w:val="none"/>
        </w:rPr>
        <w:t>，</w:t>
      </w:r>
      <w:r>
        <w:rPr>
          <w:rFonts w:hint="eastAsia" w:asciiTheme="minorEastAsia" w:hAnsiTheme="minorEastAsia" w:eastAsiaTheme="minorEastAsia"/>
          <w:kern w:val="0"/>
          <w:szCs w:val="21"/>
        </w:rPr>
        <w:t>作为选择电缆截面的供电容量；由以上供电容量计算出电流值，再根据电流值选择电缆截面。</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0"/>
        <w:rPr>
          <w:rFonts w:ascii="黑体" w:hAnsi="黑体" w:eastAsia="黑体" w:cs="黑体"/>
          <w:kern w:val="0"/>
          <w:sz w:val="20"/>
          <w:szCs w:val="20"/>
        </w:rPr>
      </w:pPr>
      <w:bookmarkStart w:id="106" w:name="_Toc85"/>
      <w:r>
        <w:rPr>
          <w:rFonts w:hint="eastAsia" w:ascii="黑体" w:hAnsi="黑体" w:eastAsia="黑体"/>
        </w:rPr>
        <w:t>5</w:t>
      </w:r>
      <w:r>
        <w:rPr>
          <w:rFonts w:ascii="黑体" w:hAnsi="黑体" w:eastAsia="黑体"/>
        </w:rPr>
        <w:t>.</w:t>
      </w:r>
      <w:r>
        <w:rPr>
          <w:rFonts w:hint="eastAsia" w:ascii="黑体" w:hAnsi="黑体" w:eastAsia="黑体"/>
        </w:rPr>
        <w:t>6</w:t>
      </w:r>
      <w:r>
        <w:rPr>
          <w:rFonts w:ascii="黑体" w:hAnsi="黑体" w:eastAsia="黑体"/>
        </w:rPr>
        <w:t xml:space="preserve"> </w:t>
      </w:r>
      <w:r>
        <w:rPr>
          <w:rFonts w:hint="eastAsia" w:ascii="黑体" w:hAnsi="黑体" w:eastAsia="黑体" w:cs="黑体"/>
          <w:kern w:val="0"/>
          <w:sz w:val="20"/>
          <w:szCs w:val="20"/>
        </w:rPr>
        <w:t>电缆通道</w:t>
      </w:r>
      <w:bookmarkEnd w:id="106"/>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9"/>
        <w:rPr>
          <w:rFonts w:ascii="黑体" w:hAnsi="黑体" w:eastAsia="黑体" w:cs="黑体"/>
          <w:kern w:val="0"/>
          <w:sz w:val="20"/>
          <w:szCs w:val="20"/>
        </w:rPr>
      </w:pPr>
      <w:r>
        <w:rPr>
          <w:rFonts w:hint="eastAsia" w:ascii="黑体" w:hAnsi="黑体" w:eastAsia="黑体"/>
        </w:rPr>
        <w:t>5</w:t>
      </w:r>
      <w:r>
        <w:rPr>
          <w:rFonts w:ascii="黑体" w:hAnsi="黑体" w:eastAsia="黑体"/>
        </w:rPr>
        <w:t>.</w:t>
      </w:r>
      <w:r>
        <w:rPr>
          <w:rFonts w:hint="eastAsia" w:ascii="黑体" w:hAnsi="黑体" w:eastAsia="黑体"/>
        </w:rPr>
        <w:t>6.1</w:t>
      </w:r>
      <w:r>
        <w:rPr>
          <w:rFonts w:ascii="黑体" w:hAnsi="黑体" w:eastAsia="黑体"/>
        </w:rPr>
        <w:t xml:space="preserve"> </w:t>
      </w:r>
      <w:r>
        <w:rPr>
          <w:rFonts w:hint="eastAsia" w:ascii="黑体" w:hAnsi="黑体" w:eastAsia="黑体" w:cs="黑体"/>
          <w:kern w:val="0"/>
          <w:sz w:val="20"/>
          <w:szCs w:val="20"/>
        </w:rPr>
        <w:t>地上通道</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地上停车位充电设施电缆通道沿小区内道路建设，宜采用电缆排管敷设方式，也可按照现场实际情况采用直埋或电缆沟敷设方式；</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地上敷设电缆进入地下车库时应设转角手井；</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穿越道路时应采取加固等保护措施，敷设上应避免外部环境等因素影响；</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(4)</w:t>
      </w:r>
      <w:r>
        <w:rPr>
          <w:rFonts w:hint="eastAsia" w:asciiTheme="minorEastAsia" w:hAnsiTheme="minorEastAsia" w:eastAsiaTheme="minorEastAsia"/>
          <w:kern w:val="0"/>
          <w:szCs w:val="21"/>
        </w:rPr>
        <w:t>电缆路径上应设立明显标志，采用多种形式的标志标明下有电缆管道，标志应与小区环境协调。</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9"/>
        <w:rPr>
          <w:rFonts w:ascii="黑体" w:hAnsi="黑体" w:eastAsia="黑体"/>
        </w:rPr>
      </w:pPr>
      <w:r>
        <w:rPr>
          <w:rFonts w:hint="eastAsia" w:ascii="黑体" w:hAnsi="黑体" w:eastAsia="黑体"/>
        </w:rPr>
        <w:t>5</w:t>
      </w:r>
      <w:r>
        <w:rPr>
          <w:rFonts w:ascii="黑体" w:hAnsi="黑体" w:eastAsia="黑体"/>
        </w:rPr>
        <w:t xml:space="preserve">.6.2 </w:t>
      </w:r>
      <w:r>
        <w:rPr>
          <w:rFonts w:hint="eastAsia" w:ascii="黑体" w:hAnsi="黑体" w:eastAsia="黑体"/>
        </w:rPr>
        <w:t>地下通道</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 xml:space="preserve">(1) </w:t>
      </w:r>
      <w:r>
        <w:rPr>
          <w:rFonts w:hint="eastAsia" w:asciiTheme="minorEastAsia" w:hAnsiTheme="minorEastAsia" w:eastAsiaTheme="minorEastAsia"/>
          <w:kern w:val="0"/>
          <w:szCs w:val="21"/>
        </w:rPr>
        <w:t>地下停车位充电设施电力电缆宜采用桥架的敷设方式，敷设方向一般平行或垂直于车道。</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 xml:space="preserve">(2) </w:t>
      </w:r>
      <w:r>
        <w:rPr>
          <w:rFonts w:hint="eastAsia" w:asciiTheme="minorEastAsia" w:hAnsiTheme="minorEastAsia" w:eastAsiaTheme="minorEastAsia"/>
          <w:kern w:val="0"/>
          <w:szCs w:val="21"/>
        </w:rPr>
        <w:t>充电设施电力电缆宜独立建设桥架，当需与住宅电力电缆在同一管廊或桥架内敷设时，须用防火隔板将充电设施电力电缆与住宅电力电缆分隔，且电力电缆转弯半径须符合规范要求。</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 xml:space="preserve">(3) </w:t>
      </w:r>
      <w:r>
        <w:rPr>
          <w:rFonts w:hint="eastAsia" w:asciiTheme="minorEastAsia" w:hAnsiTheme="minorEastAsia" w:eastAsiaTheme="minorEastAsia"/>
          <w:kern w:val="0"/>
          <w:szCs w:val="21"/>
        </w:rPr>
        <w:t>地下桥架穿车库敷设至地面上时应做好防水措施。</w:t>
      </w:r>
    </w:p>
    <w:p>
      <w:pPr>
        <w:autoSpaceDE w:val="0"/>
        <w:autoSpaceDN w:val="0"/>
        <w:adjustRightInd w:val="0"/>
        <w:ind w:firstLine="420" w:firstLineChars="200"/>
        <w:jc w:val="left"/>
        <w:rPr>
          <w:rFonts w:hint="eastAsia" w:asciiTheme="minorEastAsia" w:hAnsiTheme="minorEastAsia" w:eastAsiaTheme="minorEastAsia"/>
          <w:kern w:val="0"/>
          <w:szCs w:val="21"/>
        </w:rPr>
      </w:pPr>
      <w:r>
        <w:rPr>
          <w:rFonts w:asciiTheme="minorEastAsia" w:hAnsiTheme="minorEastAsia" w:eastAsiaTheme="minorEastAsia"/>
          <w:kern w:val="0"/>
          <w:szCs w:val="21"/>
        </w:rPr>
        <w:t xml:space="preserve">(4) </w:t>
      </w:r>
      <w:r>
        <w:rPr>
          <w:rFonts w:hint="eastAsia" w:asciiTheme="minorEastAsia" w:hAnsiTheme="minorEastAsia" w:eastAsiaTheme="minorEastAsia"/>
          <w:kern w:val="0"/>
          <w:szCs w:val="21"/>
        </w:rPr>
        <w:t>当充电桩位于人防范围内时，人防区桥架路由、进出人防区开洞位置以及充电桩电表计量间位置，应由人防院最终确定。</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9"/>
        <w:rPr>
          <w:rFonts w:hint="eastAsia" w:ascii="黑体" w:hAnsi="黑体" w:eastAsia="黑体"/>
        </w:rPr>
      </w:pPr>
      <w:r>
        <w:rPr>
          <w:rFonts w:hint="eastAsia" w:ascii="黑体" w:hAnsi="黑体" w:eastAsia="黑体"/>
        </w:rPr>
        <w:t>5.</w:t>
      </w:r>
      <w:r>
        <w:rPr>
          <w:rFonts w:hint="eastAsia" w:ascii="黑体" w:hAnsi="黑体" w:eastAsia="黑体"/>
          <w:lang w:val="en-US" w:eastAsia="zh-CN"/>
        </w:rPr>
        <w:t>7</w:t>
      </w:r>
      <w:r>
        <w:rPr>
          <w:rFonts w:hint="eastAsia" w:ascii="黑体" w:hAnsi="黑体" w:eastAsia="黑体"/>
        </w:rPr>
        <w:t xml:space="preserve"> 充电区域线缆要求</w:t>
      </w:r>
    </w:p>
    <w:p>
      <w:pPr>
        <w:autoSpaceDE w:val="0"/>
        <w:autoSpaceDN w:val="0"/>
        <w:adjustRightInd w:val="0"/>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计量表后的充电区域线缆通常情况下应采用阻燃铜芯线缆，电缆截面一般采用3x6mm2，绝缘材料选用交联聚乙烯，应具有挤塑外护套。</w:t>
      </w:r>
    </w:p>
    <w:p>
      <w:pPr>
        <w:autoSpaceDE w:val="0"/>
        <w:autoSpaceDN w:val="0"/>
        <w:adjustRightInd w:val="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充电区域线缆截面应同时满足载流量和通过可能的最大短路电流时热稳定的要求。</w:t>
      </w:r>
    </w:p>
    <w:p>
      <w:pPr>
        <w:keepNext w:val="0"/>
        <w:keepLines w:val="0"/>
        <w:pageBreakBefore w:val="0"/>
        <w:widowControl w:val="0"/>
        <w:kinsoku/>
        <w:wordWrap/>
        <w:overflowPunct/>
        <w:topLinePunct w:val="0"/>
        <w:autoSpaceDE w:val="0"/>
        <w:autoSpaceDN w:val="0"/>
        <w:bidi w:val="0"/>
        <w:adjustRightInd w:val="0"/>
        <w:snapToGrid/>
        <w:spacing w:before="312" w:beforeLines="100" w:after="312" w:afterLines="100"/>
        <w:jc w:val="left"/>
        <w:textAlignment w:val="auto"/>
        <w:outlineLvl w:val="0"/>
        <w:rPr>
          <w:rFonts w:ascii="黑体" w:hAnsi="黑体" w:eastAsia="黑体"/>
        </w:rPr>
      </w:pPr>
      <w:bookmarkStart w:id="107" w:name="_Toc20797"/>
      <w:r>
        <w:rPr>
          <w:rFonts w:hint="eastAsia" w:ascii="黑体" w:hAnsi="黑体" w:eastAsia="黑体"/>
        </w:rPr>
        <w:t>6</w:t>
      </w:r>
      <w:r>
        <w:rPr>
          <w:rFonts w:ascii="黑体" w:hAnsi="黑体" w:eastAsia="黑体"/>
        </w:rPr>
        <w:t xml:space="preserve"> </w:t>
      </w:r>
      <w:r>
        <w:rPr>
          <w:rFonts w:hint="eastAsia" w:ascii="黑体" w:hAnsi="黑体" w:eastAsia="黑体"/>
        </w:rPr>
        <w:t>设计方案</w:t>
      </w:r>
      <w:bookmarkEnd w:id="107"/>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0"/>
        <w:rPr>
          <w:rFonts w:ascii="黑体" w:hAnsi="黑体" w:eastAsia="黑体"/>
        </w:rPr>
      </w:pPr>
      <w:bookmarkStart w:id="108" w:name="_Toc31820"/>
      <w:r>
        <w:rPr>
          <w:rFonts w:hint="eastAsia" w:ascii="黑体" w:hAnsi="黑体" w:eastAsia="黑体"/>
        </w:rPr>
        <w:t>6</w:t>
      </w:r>
      <w:r>
        <w:rPr>
          <w:rFonts w:ascii="黑体" w:hAnsi="黑体" w:eastAsia="黑体"/>
        </w:rPr>
        <w:t xml:space="preserve">.1 </w:t>
      </w:r>
      <w:r>
        <w:rPr>
          <w:rFonts w:hint="eastAsia" w:ascii="黑体" w:hAnsi="黑体" w:eastAsia="黑体"/>
        </w:rPr>
        <w:t>地上方案</w:t>
      </w:r>
      <w:bookmarkEnd w:id="108"/>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9"/>
        <w:rPr>
          <w:rFonts w:ascii="黑体" w:hAnsi="黑体" w:eastAsia="黑体"/>
        </w:rPr>
      </w:pPr>
      <w:r>
        <w:rPr>
          <w:rFonts w:hint="eastAsia" w:ascii="黑体" w:hAnsi="黑体" w:eastAsia="黑体"/>
        </w:rPr>
        <w:t>6</w:t>
      </w:r>
      <w:r>
        <w:rPr>
          <w:rFonts w:ascii="黑体" w:hAnsi="黑体" w:eastAsia="黑体"/>
        </w:rPr>
        <w:t xml:space="preserve">.1.1 </w:t>
      </w:r>
      <w:r>
        <w:rPr>
          <w:rFonts w:hint="eastAsia" w:ascii="黑体" w:hAnsi="黑体" w:eastAsia="黑体"/>
        </w:rPr>
        <w:t>主要技术原则</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充电设施考虑为额定电流</w:t>
      </w:r>
      <w:r>
        <w:rPr>
          <w:rFonts w:asciiTheme="minorEastAsia" w:hAnsiTheme="minorEastAsia" w:eastAsiaTheme="minorEastAsia"/>
          <w:kern w:val="0"/>
          <w:szCs w:val="21"/>
        </w:rPr>
        <w:t>32 A/</w:t>
      </w:r>
      <w:r>
        <w:rPr>
          <w:rFonts w:hint="eastAsia" w:asciiTheme="minorEastAsia" w:hAnsiTheme="minorEastAsia" w:eastAsiaTheme="minorEastAsia"/>
          <w:kern w:val="0"/>
          <w:szCs w:val="21"/>
        </w:rPr>
        <w:t>台交流充电桩；</w:t>
      </w:r>
    </w:p>
    <w:p>
      <w:pPr>
        <w:autoSpaceDE w:val="0"/>
        <w:autoSpaceDN w:val="0"/>
        <w:adjustRightInd w:val="0"/>
        <w:ind w:firstLine="420" w:firstLineChars="200"/>
        <w:jc w:val="left"/>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供电方式为低压柜出线</w:t>
      </w:r>
      <w:r>
        <w:rPr>
          <w:rFonts w:asciiTheme="minorEastAsia" w:hAnsiTheme="minorEastAsia" w:eastAsiaTheme="minorEastAsia"/>
          <w:kern w:val="0"/>
          <w:szCs w:val="21"/>
        </w:rPr>
        <w:t>--</w:t>
      </w:r>
      <w:r>
        <w:rPr>
          <w:rFonts w:hint="eastAsia" w:asciiTheme="minorEastAsia" w:hAnsiTheme="minorEastAsia" w:eastAsiaTheme="minorEastAsia"/>
          <w:kern w:val="0"/>
          <w:szCs w:val="21"/>
        </w:rPr>
        <w:t>电缆分支箱</w:t>
      </w:r>
      <w:r>
        <w:rPr>
          <w:rFonts w:asciiTheme="minorEastAsia" w:hAnsiTheme="minorEastAsia" w:eastAsiaTheme="minorEastAsia"/>
          <w:kern w:val="0"/>
          <w:szCs w:val="21"/>
        </w:rPr>
        <w:t>--</w:t>
      </w:r>
      <w:r>
        <w:rPr>
          <w:rFonts w:hint="eastAsia" w:asciiTheme="minorEastAsia" w:hAnsiTheme="minorEastAsia" w:eastAsiaTheme="minorEastAsia"/>
          <w:kern w:val="0"/>
          <w:szCs w:val="21"/>
        </w:rPr>
        <w:t>电能计量箱，采用电缆排管或直埋穿管安装方式；</w:t>
      </w:r>
    </w:p>
    <w:p>
      <w:pPr>
        <w:autoSpaceDE w:val="0"/>
        <w:autoSpaceDN w:val="0"/>
        <w:adjustRightInd w:val="0"/>
        <w:ind w:firstLine="420" w:firstLineChars="200"/>
        <w:jc w:val="left"/>
        <w:rPr>
          <w:rFonts w:hint="eastAsia"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电缆分支箱及电能计量箱采用落地式或支架式安装方式。</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9"/>
        <w:rPr>
          <w:rFonts w:ascii="黑体" w:hAnsi="黑体" w:eastAsia="黑体"/>
        </w:rPr>
      </w:pPr>
      <w:r>
        <w:rPr>
          <w:rFonts w:hint="eastAsia" w:ascii="黑体" w:hAnsi="黑体" w:eastAsia="黑体"/>
        </w:rPr>
        <w:t>6</w:t>
      </w:r>
      <w:r>
        <w:rPr>
          <w:rFonts w:ascii="黑体" w:hAnsi="黑体" w:eastAsia="黑体"/>
        </w:rPr>
        <w:t xml:space="preserve">.1.2 </w:t>
      </w:r>
      <w:r>
        <w:rPr>
          <w:rFonts w:hint="eastAsia" w:ascii="黑体" w:hAnsi="黑体" w:eastAsia="黑体"/>
        </w:rPr>
        <w:t>设备选型</w:t>
      </w:r>
    </w:p>
    <w:p>
      <w:pPr>
        <w:autoSpaceDE w:val="0"/>
        <w:autoSpaceDN w:val="0"/>
        <w:adjustRightInd w:val="0"/>
        <w:ind w:firstLine="420" w:firstLineChars="200"/>
        <w:jc w:val="left"/>
        <w:rPr>
          <w:rFonts w:ascii="TimesNewRomanPSMT" w:eastAsia="TimesNewRomanPSMT" w:cs="TimesNewRomanPSMT"/>
          <w:color w:val="000000"/>
          <w:kern w:val="0"/>
          <w:sz w:val="20"/>
          <w:szCs w:val="20"/>
        </w:rPr>
      </w:pPr>
      <w:r>
        <w:rPr>
          <w:rFonts w:hint="eastAsia" w:asciiTheme="minorEastAsia" w:hAnsiTheme="minorEastAsia" w:eastAsiaTheme="minorEastAsia"/>
          <w:kern w:val="0"/>
          <w:szCs w:val="21"/>
        </w:rPr>
        <w:t>常用电能计量箱设备选型见表3。</w:t>
      </w:r>
    </w:p>
    <w:p>
      <w:pPr>
        <w:autoSpaceDE w:val="0"/>
        <w:autoSpaceDN w:val="0"/>
        <w:adjustRightInd w:val="0"/>
        <w:spacing w:before="156" w:beforeLines="50" w:after="156" w:afterLines="50"/>
        <w:jc w:val="center"/>
        <w:rPr>
          <w:rFonts w:hint="eastAsia" w:ascii="黑体" w:eastAsia="黑体" w:cs="黑体"/>
          <w:kern w:val="0"/>
          <w:szCs w:val="21"/>
        </w:rPr>
      </w:pPr>
      <w:r>
        <w:rPr>
          <w:rFonts w:hint="eastAsia" w:ascii="黑体" w:eastAsia="黑体" w:cs="黑体"/>
          <w:kern w:val="0"/>
          <w:szCs w:val="21"/>
        </w:rPr>
        <w:t>表3</w:t>
      </w:r>
      <w:r>
        <w:rPr>
          <w:rFonts w:ascii="黑体" w:eastAsia="黑体" w:cs="黑体"/>
          <w:kern w:val="0"/>
          <w:szCs w:val="21"/>
        </w:rPr>
        <w:t xml:space="preserve"> </w:t>
      </w:r>
      <w:r>
        <w:rPr>
          <w:rFonts w:hint="eastAsia" w:ascii="黑体" w:eastAsia="黑体" w:cs="黑体"/>
          <w:kern w:val="0"/>
          <w:szCs w:val="21"/>
        </w:rPr>
        <w:t>电能计量箱设备选型表</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560"/>
        <w:gridCol w:w="1701"/>
        <w:gridCol w:w="1701"/>
        <w:gridCol w:w="1984"/>
        <w:gridCol w:w="1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序号</w:t>
            </w:r>
          </w:p>
        </w:tc>
        <w:tc>
          <w:tcPr>
            <w:tcW w:w="156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充电桩额定电流</w:t>
            </w:r>
            <w:r>
              <w:rPr>
                <w:rFonts w:cs="黑体" w:asciiTheme="minorEastAsia" w:hAnsiTheme="minorEastAsia" w:eastAsiaTheme="minorEastAsia"/>
                <w:color w:val="333333"/>
                <w:kern w:val="0"/>
                <w:sz w:val="18"/>
                <w:szCs w:val="18"/>
              </w:rPr>
              <w:t>(A)</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用电设备数</w:t>
            </w:r>
            <w:r>
              <w:rPr>
                <w:rFonts w:cs="黑体" w:asciiTheme="minorEastAsia" w:hAnsiTheme="minorEastAsia" w:eastAsiaTheme="minorEastAsia"/>
                <w:color w:val="333333"/>
                <w:kern w:val="0"/>
                <w:sz w:val="18"/>
                <w:szCs w:val="18"/>
              </w:rPr>
              <w:t>(</w:t>
            </w:r>
            <w:r>
              <w:rPr>
                <w:rFonts w:hint="eastAsia" w:cs="黑体" w:asciiTheme="minorEastAsia" w:hAnsiTheme="minorEastAsia" w:eastAsiaTheme="minorEastAsia"/>
                <w:color w:val="333333"/>
                <w:kern w:val="0"/>
                <w:sz w:val="18"/>
                <w:szCs w:val="18"/>
              </w:rPr>
              <w:t>个</w:t>
            </w:r>
            <w:r>
              <w:rPr>
                <w:rFonts w:cs="黑体" w:asciiTheme="minorEastAsia" w:hAnsiTheme="minorEastAsia" w:eastAsiaTheme="minorEastAsia"/>
                <w:color w:val="333333"/>
                <w:kern w:val="0"/>
                <w:sz w:val="18"/>
                <w:szCs w:val="18"/>
              </w:rPr>
              <w:t>)</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电能计量箱表位数</w:t>
            </w:r>
            <w:r>
              <w:rPr>
                <w:rFonts w:cs="黑体" w:asciiTheme="minorEastAsia" w:hAnsiTheme="minorEastAsia" w:eastAsiaTheme="minorEastAsia"/>
                <w:color w:val="333333"/>
                <w:kern w:val="0"/>
                <w:sz w:val="18"/>
                <w:szCs w:val="18"/>
              </w:rPr>
              <w:t>(</w:t>
            </w:r>
            <w:r>
              <w:rPr>
                <w:rFonts w:hint="eastAsia" w:cs="黑体" w:asciiTheme="minorEastAsia" w:hAnsiTheme="minorEastAsia" w:eastAsiaTheme="minorEastAsia"/>
                <w:color w:val="333333"/>
                <w:kern w:val="0"/>
                <w:sz w:val="18"/>
                <w:szCs w:val="18"/>
              </w:rPr>
              <w:t>只</w:t>
            </w:r>
            <w:r>
              <w:rPr>
                <w:rFonts w:cs="黑体" w:asciiTheme="minorEastAsia" w:hAnsiTheme="minorEastAsia" w:eastAsiaTheme="minorEastAsia"/>
                <w:color w:val="333333"/>
                <w:kern w:val="0"/>
                <w:sz w:val="18"/>
                <w:szCs w:val="18"/>
              </w:rPr>
              <w:t>)</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电能计量箱容量</w:t>
            </w:r>
            <w:r>
              <w:rPr>
                <w:rFonts w:cs="黑体" w:asciiTheme="minorEastAsia" w:hAnsiTheme="minorEastAsia" w:eastAsiaTheme="minorEastAsia"/>
                <w:color w:val="333333"/>
                <w:kern w:val="0"/>
                <w:sz w:val="18"/>
                <w:szCs w:val="18"/>
              </w:rPr>
              <w:t>(kW)</w:t>
            </w:r>
          </w:p>
        </w:tc>
        <w:tc>
          <w:tcPr>
            <w:tcW w:w="1950"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电能计量箱进线电缆</w:t>
            </w:r>
            <w:r>
              <w:rPr>
                <w:rFonts w:cs="黑体" w:asciiTheme="minorEastAsia" w:hAnsiTheme="minorEastAsia" w:eastAsiaTheme="minorEastAsia"/>
                <w:color w:val="333333"/>
                <w:kern w:val="0"/>
                <w:sz w:val="18"/>
                <w:szCs w:val="18"/>
              </w:rPr>
              <w:t>(mm</w:t>
            </w:r>
            <w:r>
              <w:rPr>
                <w:rFonts w:cs="ArialMT" w:asciiTheme="minorEastAsia" w:hAnsiTheme="minorEastAsia" w:eastAsiaTheme="minorEastAsia"/>
                <w:color w:val="333333"/>
                <w:kern w:val="0"/>
                <w:sz w:val="18"/>
                <w:szCs w:val="18"/>
              </w:rPr>
              <w:t>2</w:t>
            </w:r>
            <w:r>
              <w:rPr>
                <w:rFonts w:cs="黑体" w:asciiTheme="minorEastAsia" w:hAnsiTheme="minorEastAsia" w:eastAsiaTheme="minorEastAsia"/>
                <w:color w:val="333333"/>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w:t>
            </w:r>
          </w:p>
        </w:tc>
        <w:tc>
          <w:tcPr>
            <w:tcW w:w="15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32</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cs="宋体" w:asciiTheme="minorEastAsia" w:hAnsiTheme="minorEastAsia" w:eastAsiaTheme="minorEastAsia"/>
                <w:color w:val="333333"/>
                <w:kern w:val="0"/>
                <w:sz w:val="18"/>
                <w:szCs w:val="18"/>
              </w:rPr>
              <w:t>10~12</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hint="eastAsia" w:cs="黑体" w:asciiTheme="minorEastAsia" w:hAnsiTheme="minorEastAsia" w:eastAsiaTheme="minorEastAsia"/>
                <w:kern w:val="0"/>
                <w:sz w:val="18"/>
                <w:szCs w:val="18"/>
              </w:rPr>
              <w:t>12</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84</w:t>
            </w:r>
          </w:p>
        </w:tc>
        <w:tc>
          <w:tcPr>
            <w:tcW w:w="1950" w:type="dxa"/>
            <w:vMerge w:val="restart"/>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r>
              <w:rPr>
                <w:rFonts w:cs="黑体" w:asciiTheme="minorEastAsia" w:hAnsiTheme="minorEastAsia" w:eastAsiaTheme="minorEastAsia"/>
                <w:kern w:val="0"/>
                <w:sz w:val="18"/>
                <w:szCs w:val="18"/>
              </w:rPr>
              <w:t>4</w:t>
            </w:r>
            <w:r>
              <w:rPr>
                <w:rFonts w:hint="eastAsia" w:cs="黑体" w:asciiTheme="minorEastAsia" w:hAnsiTheme="minorEastAsia" w:eastAsiaTheme="minorEastAsia"/>
                <w:kern w:val="0"/>
                <w:sz w:val="18"/>
                <w:szCs w:val="18"/>
              </w:rPr>
              <w:t>×</w:t>
            </w:r>
            <w:r>
              <w:rPr>
                <w:rFonts w:cs="黑体" w:asciiTheme="minorEastAsia" w:hAnsiTheme="minorEastAsia" w:eastAsiaTheme="minorEastAsia"/>
                <w:kern w:val="0"/>
                <w:sz w:val="18"/>
                <w:szCs w:val="18"/>
              </w:rPr>
              <w:t>35+1</w:t>
            </w:r>
            <w:r>
              <w:rPr>
                <w:rFonts w:hint="eastAsia" w:cs="黑体" w:asciiTheme="minorEastAsia" w:hAnsiTheme="minorEastAsia" w:eastAsiaTheme="minorEastAsia"/>
                <w:kern w:val="0"/>
                <w:sz w:val="18"/>
                <w:szCs w:val="18"/>
              </w:rPr>
              <w:t>×</w:t>
            </w:r>
            <w:r>
              <w:rPr>
                <w:rFonts w:cs="黑体" w:asciiTheme="minorEastAsia" w:hAnsiTheme="minorEastAsia" w:eastAsiaTheme="minorEastAsia"/>
                <w:kern w:val="0"/>
                <w:sz w:val="18"/>
                <w:szCs w:val="18"/>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w:t>
            </w:r>
          </w:p>
        </w:tc>
        <w:tc>
          <w:tcPr>
            <w:tcW w:w="1560" w:type="dxa"/>
            <w:vMerge w:val="continue"/>
          </w:tcPr>
          <w:p>
            <w:pPr>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cs="黑体" w:asciiTheme="minorEastAsia" w:hAnsiTheme="minorEastAsia" w:eastAsiaTheme="minorEastAsia"/>
                <w:kern w:val="0"/>
                <w:sz w:val="18"/>
                <w:szCs w:val="18"/>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7~9</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9</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宋体" w:asciiTheme="minorEastAsia" w:hAnsiTheme="minorEastAsia" w:eastAsiaTheme="minorEastAsia"/>
                <w:color w:val="333333"/>
                <w:kern w:val="0"/>
                <w:sz w:val="18"/>
                <w:szCs w:val="18"/>
              </w:rPr>
              <w:t>≤63</w:t>
            </w:r>
          </w:p>
        </w:tc>
        <w:tc>
          <w:tcPr>
            <w:tcW w:w="1950" w:type="dxa"/>
            <w:vMerge w:val="continue"/>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3</w:t>
            </w:r>
          </w:p>
        </w:tc>
        <w:tc>
          <w:tcPr>
            <w:tcW w:w="1560" w:type="dxa"/>
            <w:vMerge w:val="continue"/>
          </w:tcPr>
          <w:p>
            <w:pPr>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cs="黑体" w:asciiTheme="minorEastAsia" w:hAnsiTheme="minorEastAsia" w:eastAsiaTheme="minorEastAsia"/>
                <w:kern w:val="0"/>
                <w:sz w:val="18"/>
                <w:szCs w:val="18"/>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5~6</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6</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宋体" w:asciiTheme="minorEastAsia" w:hAnsiTheme="minorEastAsia" w:eastAsiaTheme="minorEastAsia"/>
                <w:color w:val="333333"/>
                <w:kern w:val="0"/>
                <w:sz w:val="18"/>
                <w:szCs w:val="18"/>
              </w:rPr>
              <w:t>≤42</w:t>
            </w:r>
          </w:p>
        </w:tc>
        <w:tc>
          <w:tcPr>
            <w:tcW w:w="1950" w:type="dxa"/>
            <w:vMerge w:val="continue"/>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560" w:type="dxa"/>
            <w:vMerge w:val="continue"/>
          </w:tcPr>
          <w:p>
            <w:pPr>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cs="黑体" w:asciiTheme="minorEastAsia" w:hAnsiTheme="minorEastAsia" w:eastAsiaTheme="minorEastAsia"/>
                <w:kern w:val="0"/>
                <w:sz w:val="18"/>
                <w:szCs w:val="18"/>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1~4</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宋体" w:cs="宋体"/>
                <w:color w:val="000000"/>
                <w:kern w:val="0"/>
                <w:sz w:val="18"/>
                <w:szCs w:val="18"/>
              </w:rPr>
            </w:pPr>
            <w:r>
              <w:rPr>
                <w:rFonts w:hint="eastAsia" w:cs="宋体" w:asciiTheme="minorEastAsia" w:hAnsiTheme="minorEastAsia" w:eastAsiaTheme="minorEastAsia"/>
                <w:color w:val="333333"/>
                <w:kern w:val="0"/>
                <w:sz w:val="18"/>
                <w:szCs w:val="18"/>
              </w:rPr>
              <w:t>≤</w:t>
            </w:r>
            <w:r>
              <w:rPr>
                <w:rFonts w:ascii="宋体" w:cs="宋体"/>
                <w:color w:val="333333"/>
                <w:kern w:val="0"/>
                <w:sz w:val="18"/>
                <w:szCs w:val="18"/>
              </w:rPr>
              <w:t>28</w:t>
            </w:r>
          </w:p>
        </w:tc>
        <w:tc>
          <w:tcPr>
            <w:tcW w:w="1950" w:type="dxa"/>
            <w:vMerge w:val="continue"/>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p>
        </w:tc>
      </w:tr>
    </w:tbl>
    <w:p>
      <w:pPr>
        <w:autoSpaceDE w:val="0"/>
        <w:autoSpaceDN w:val="0"/>
        <w:adjustRightInd w:val="0"/>
        <w:spacing w:before="156" w:beforeLines="50"/>
        <w:ind w:firstLine="420" w:firstLineChars="200"/>
        <w:jc w:val="left"/>
        <w:rPr>
          <w:rFonts w:ascii="宋体" w:cs="宋体"/>
          <w:color w:val="333333"/>
          <w:kern w:val="0"/>
          <w:szCs w:val="21"/>
        </w:rPr>
      </w:pPr>
      <w:r>
        <w:rPr>
          <w:rFonts w:ascii="宋体" w:cs="宋体"/>
          <w:color w:val="333333"/>
          <w:kern w:val="0"/>
          <w:szCs w:val="21"/>
        </w:rPr>
        <w:t>1</w:t>
      </w:r>
      <w:r>
        <w:rPr>
          <w:rFonts w:hint="eastAsia" w:ascii="宋体" w:cs="宋体"/>
          <w:color w:val="333333"/>
          <w:kern w:val="0"/>
          <w:szCs w:val="21"/>
        </w:rPr>
        <w:t>回低压主干线所接入电缆分支箱一般不超过</w:t>
      </w:r>
      <w:r>
        <w:rPr>
          <w:rFonts w:ascii="宋体" w:cs="宋体"/>
          <w:color w:val="333333"/>
          <w:kern w:val="0"/>
          <w:szCs w:val="21"/>
        </w:rPr>
        <w:t>3</w:t>
      </w:r>
      <w:r>
        <w:rPr>
          <w:rFonts w:hint="eastAsia" w:ascii="宋体" w:cs="宋体"/>
          <w:color w:val="333333"/>
          <w:kern w:val="0"/>
          <w:szCs w:val="21"/>
        </w:rPr>
        <w:t>只，安装数量应按所需接入的电能计量箱数量确定，工程设计中可参照表4。</w:t>
      </w:r>
    </w:p>
    <w:p>
      <w:pPr>
        <w:autoSpaceDE w:val="0"/>
        <w:autoSpaceDN w:val="0"/>
        <w:adjustRightInd w:val="0"/>
        <w:spacing w:before="156" w:beforeLines="50" w:after="156" w:afterLines="50"/>
        <w:jc w:val="center"/>
        <w:rPr>
          <w:rFonts w:hint="eastAsia" w:ascii="黑体" w:eastAsia="黑体" w:cs="黑体"/>
          <w:kern w:val="0"/>
          <w:szCs w:val="21"/>
        </w:rPr>
      </w:pPr>
      <w:r>
        <w:rPr>
          <w:rFonts w:hint="eastAsia" w:ascii="黑体" w:eastAsia="黑体" w:cs="黑体"/>
          <w:kern w:val="0"/>
          <w:szCs w:val="21"/>
        </w:rPr>
        <w:t>表4</w:t>
      </w:r>
      <w:r>
        <w:rPr>
          <w:rFonts w:ascii="黑体" w:eastAsia="黑体" w:cs="黑体"/>
          <w:kern w:val="0"/>
          <w:szCs w:val="21"/>
        </w:rPr>
        <w:t xml:space="preserve"> </w:t>
      </w:r>
      <w:r>
        <w:rPr>
          <w:rFonts w:hint="eastAsia" w:ascii="黑体" w:eastAsia="黑体" w:cs="黑体"/>
          <w:kern w:val="0"/>
          <w:szCs w:val="21"/>
        </w:rPr>
        <w:t>电能计量箱设备选型表</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780"/>
        <w:gridCol w:w="480"/>
        <w:gridCol w:w="2880"/>
        <w:gridCol w:w="585"/>
        <w:gridCol w:w="1320"/>
        <w:gridCol w:w="585"/>
        <w:gridCol w:w="1260"/>
        <w:gridCol w:w="450"/>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单回出线带分支箱数量</w:t>
            </w:r>
            <w:r>
              <w:rPr>
                <w:rFonts w:cs="黑体" w:asciiTheme="minorEastAsia" w:hAnsiTheme="minorEastAsia" w:eastAsiaTheme="minorEastAsia"/>
                <w:color w:val="333333"/>
                <w:kern w:val="0"/>
                <w:sz w:val="18"/>
                <w:szCs w:val="18"/>
              </w:rPr>
              <w:t>(</w:t>
            </w:r>
            <w:r>
              <w:rPr>
                <w:rFonts w:hint="eastAsia" w:cs="黑体" w:asciiTheme="minorEastAsia" w:hAnsiTheme="minorEastAsia" w:eastAsiaTheme="minorEastAsia"/>
                <w:color w:val="333333"/>
                <w:kern w:val="0"/>
                <w:sz w:val="18"/>
                <w:szCs w:val="18"/>
              </w:rPr>
              <w:t>只</w:t>
            </w:r>
            <w:r>
              <w:rPr>
                <w:rFonts w:cs="黑体" w:asciiTheme="minorEastAsia" w:hAnsiTheme="minorEastAsia" w:eastAsiaTheme="minorEastAsia"/>
                <w:color w:val="333333"/>
                <w:kern w:val="0"/>
                <w:sz w:val="18"/>
                <w:szCs w:val="18"/>
              </w:rPr>
              <w:t>)</w:t>
            </w:r>
          </w:p>
        </w:tc>
        <w:tc>
          <w:tcPr>
            <w:tcW w:w="780" w:type="dxa"/>
            <w:vMerge w:val="restart"/>
            <w:vAlign w:val="center"/>
          </w:tcPr>
          <w:p>
            <w:pPr>
              <w:autoSpaceDE w:val="0"/>
              <w:autoSpaceDN w:val="0"/>
              <w:adjustRightInd w:val="0"/>
              <w:jc w:val="center"/>
              <w:rPr>
                <w:rFonts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分支箱接线形式</w:t>
            </w:r>
          </w:p>
        </w:tc>
        <w:tc>
          <w:tcPr>
            <w:tcW w:w="480"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分支箱规格</w:t>
            </w:r>
          </w:p>
        </w:tc>
        <w:tc>
          <w:tcPr>
            <w:tcW w:w="3465" w:type="dxa"/>
            <w:gridSpan w:val="2"/>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r>
              <w:rPr>
                <w:rFonts w:hint="eastAsia" w:cs="黑体" w:asciiTheme="minorEastAsia" w:hAnsiTheme="minorEastAsia" w:eastAsiaTheme="minorEastAsia"/>
                <w:color w:val="333333"/>
                <w:kern w:val="0"/>
                <w:sz w:val="18"/>
                <w:szCs w:val="18"/>
              </w:rPr>
              <w:t>配电室至分支箱</w:t>
            </w:r>
          </w:p>
        </w:tc>
        <w:tc>
          <w:tcPr>
            <w:tcW w:w="1320"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主分支箱至次级分支箱</w:t>
            </w:r>
          </w:p>
        </w:tc>
        <w:tc>
          <w:tcPr>
            <w:tcW w:w="585"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主分支箱至次级分支箱</w:t>
            </w:r>
          </w:p>
        </w:tc>
        <w:tc>
          <w:tcPr>
            <w:tcW w:w="1260"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分支箱至电表箱电缆规格</w:t>
            </w:r>
          </w:p>
        </w:tc>
        <w:tc>
          <w:tcPr>
            <w:tcW w:w="450"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计量箱规格</w:t>
            </w:r>
          </w:p>
        </w:tc>
        <w:tc>
          <w:tcPr>
            <w:tcW w:w="577"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最大车位数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780" w:type="dxa"/>
            <w:vMerge w:val="continue"/>
            <w:vAlign w:val="center"/>
          </w:tcPr>
          <w:p>
            <w:pPr>
              <w:autoSpaceDE w:val="0"/>
              <w:autoSpaceDN w:val="0"/>
              <w:adjustRightInd w:val="0"/>
              <w:jc w:val="center"/>
              <w:rPr>
                <w:rFonts w:cs="黑体" w:asciiTheme="minorEastAsia" w:hAnsiTheme="minorEastAsia" w:eastAsiaTheme="minorEastAsia"/>
                <w:color w:val="333333"/>
                <w:kern w:val="0"/>
                <w:sz w:val="18"/>
                <w:szCs w:val="18"/>
              </w:rPr>
            </w:pPr>
          </w:p>
        </w:tc>
        <w:tc>
          <w:tcPr>
            <w:tcW w:w="48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2880"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电缆规格</w:t>
            </w:r>
          </w:p>
        </w:tc>
        <w:tc>
          <w:tcPr>
            <w:tcW w:w="585"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排管孔数</w:t>
            </w:r>
          </w:p>
        </w:tc>
        <w:tc>
          <w:tcPr>
            <w:tcW w:w="1320"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电缆规格</w:t>
            </w:r>
          </w:p>
        </w:tc>
        <w:tc>
          <w:tcPr>
            <w:tcW w:w="585"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排管孔数</w:t>
            </w:r>
          </w:p>
        </w:tc>
        <w:tc>
          <w:tcPr>
            <w:tcW w:w="126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45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577"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5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w:t>
            </w:r>
          </w:p>
        </w:tc>
        <w:tc>
          <w:tcPr>
            <w:tcW w:w="78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主</w:t>
            </w:r>
          </w:p>
        </w:tc>
        <w:tc>
          <w:tcPr>
            <w:tcW w:w="480" w:type="dxa"/>
            <w:vMerge w:val="restart"/>
            <w:vAlign w:val="center"/>
          </w:tcPr>
          <w:p>
            <w:pPr>
              <w:autoSpaceDE w:val="0"/>
              <w:autoSpaceDN w:val="0"/>
              <w:adjustRightInd w:val="0"/>
              <w:jc w:val="center"/>
              <w:rPr>
                <w:rFonts w:cs="宋体" w:asciiTheme="minorEastAsia" w:hAnsiTheme="minorEastAsia" w:eastAsiaTheme="minorEastAsia"/>
                <w:color w:val="333333"/>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进</w:t>
            </w:r>
            <w:r>
              <w:rPr>
                <w:rFonts w:cs="宋体" w:asciiTheme="minorEastAsia" w:hAnsiTheme="minorEastAsia" w:eastAsiaTheme="minorEastAsia"/>
                <w:color w:val="333333"/>
                <w:kern w:val="0"/>
                <w:sz w:val="18"/>
                <w:szCs w:val="18"/>
              </w:rPr>
              <w:t>6</w:t>
            </w:r>
            <w:r>
              <w:rPr>
                <w:rFonts w:hint="eastAsia" w:cs="宋体" w:asciiTheme="minorEastAsia" w:hAnsiTheme="minorEastAsia" w:eastAsiaTheme="minorEastAsia"/>
                <w:color w:val="333333"/>
                <w:kern w:val="0"/>
                <w:sz w:val="18"/>
                <w:szCs w:val="18"/>
              </w:rPr>
              <w:t>出</w:t>
            </w:r>
          </w:p>
        </w:tc>
        <w:tc>
          <w:tcPr>
            <w:tcW w:w="288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58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w:t>
            </w:r>
          </w:p>
        </w:tc>
        <w:tc>
          <w:tcPr>
            <w:tcW w:w="132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w:t>
            </w:r>
          </w:p>
        </w:tc>
        <w:tc>
          <w:tcPr>
            <w:tcW w:w="58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w:t>
            </w:r>
          </w:p>
        </w:tc>
        <w:tc>
          <w:tcPr>
            <w:tcW w:w="126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35+1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16</w:t>
            </w:r>
          </w:p>
        </w:tc>
        <w:tc>
          <w:tcPr>
            <w:tcW w:w="450" w:type="dxa"/>
            <w:vMerge w:val="restart"/>
            <w:vAlign w:val="center"/>
          </w:tcPr>
          <w:p>
            <w:pPr>
              <w:autoSpaceDE w:val="0"/>
              <w:autoSpaceDN w:val="0"/>
              <w:adjustRightInd w:val="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12</w:t>
            </w:r>
            <w:r>
              <w:rPr>
                <w:rFonts w:hint="eastAsia" w:cs="宋体" w:asciiTheme="minorEastAsia" w:hAnsiTheme="minorEastAsia" w:eastAsiaTheme="minorEastAsia"/>
                <w:color w:val="333333"/>
                <w:kern w:val="0"/>
                <w:sz w:val="18"/>
                <w:szCs w:val="18"/>
              </w:rPr>
              <w:t>表位</w:t>
            </w:r>
          </w:p>
        </w:tc>
        <w:tc>
          <w:tcPr>
            <w:tcW w:w="577"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5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w:t>
            </w:r>
          </w:p>
        </w:tc>
        <w:tc>
          <w:tcPr>
            <w:tcW w:w="78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主</w:t>
            </w: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分</w:t>
            </w:r>
          </w:p>
        </w:tc>
        <w:tc>
          <w:tcPr>
            <w:tcW w:w="48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288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240+1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120/2</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58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32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58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w:t>
            </w:r>
          </w:p>
        </w:tc>
        <w:tc>
          <w:tcPr>
            <w:tcW w:w="126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35+1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16</w:t>
            </w:r>
          </w:p>
        </w:tc>
        <w:tc>
          <w:tcPr>
            <w:tcW w:w="45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577"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65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3</w:t>
            </w:r>
          </w:p>
        </w:tc>
        <w:tc>
          <w:tcPr>
            <w:tcW w:w="78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1主2分</w:t>
            </w:r>
          </w:p>
        </w:tc>
        <w:tc>
          <w:tcPr>
            <w:tcW w:w="48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p>
        </w:tc>
        <w:tc>
          <w:tcPr>
            <w:tcW w:w="288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2×4×150+1×95</w:t>
            </w:r>
          </w:p>
        </w:tc>
        <w:tc>
          <w:tcPr>
            <w:tcW w:w="58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32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4×150+1×95</w:t>
            </w:r>
          </w:p>
        </w:tc>
        <w:tc>
          <w:tcPr>
            <w:tcW w:w="585"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260"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4×35+1×16</w:t>
            </w:r>
          </w:p>
        </w:tc>
        <w:tc>
          <w:tcPr>
            <w:tcW w:w="45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577" w:type="dxa"/>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156</w:t>
            </w:r>
          </w:p>
        </w:tc>
      </w:tr>
    </w:tbl>
    <w:p>
      <w:pPr>
        <w:pStyle w:val="127"/>
        <w:keepNext w:val="0"/>
        <w:keepLines w:val="0"/>
        <w:pageBreakBefore w:val="0"/>
        <w:widowControl/>
        <w:kinsoku/>
        <w:wordWrap/>
        <w:overflowPunct/>
        <w:topLinePunct w:val="0"/>
        <w:autoSpaceDE/>
        <w:autoSpaceDN/>
        <w:bidi w:val="0"/>
        <w:adjustRightInd/>
        <w:snapToGrid/>
        <w:spacing w:before="156" w:beforeLines="50" w:after="156" w:afterLines="50"/>
        <w:textAlignment w:val="auto"/>
        <w:outlineLvl w:val="9"/>
      </w:pPr>
      <w:bookmarkStart w:id="109" w:name="_Toc12358"/>
      <w:r>
        <w:rPr>
          <w:rFonts w:hint="eastAsia"/>
        </w:rPr>
        <w:t>6</w:t>
      </w:r>
      <w:r>
        <w:t xml:space="preserve">.1.3 </w:t>
      </w:r>
      <w:r>
        <w:rPr>
          <w:rFonts w:hint="eastAsia"/>
        </w:rPr>
        <w:t>通道方案</w:t>
      </w:r>
      <w:bookmarkEnd w:id="109"/>
    </w:p>
    <w:p>
      <w:pPr>
        <w:autoSpaceDE w:val="0"/>
        <w:autoSpaceDN w:val="0"/>
        <w:adjustRightInd w:val="0"/>
        <w:ind w:firstLine="420" w:firstLineChars="200"/>
        <w:jc w:val="left"/>
        <w:rPr>
          <w:rFonts w:hint="eastAsia" w:ascii="宋体" w:cs="宋体"/>
          <w:color w:val="333333"/>
          <w:kern w:val="0"/>
          <w:szCs w:val="21"/>
        </w:rPr>
      </w:pPr>
      <w:r>
        <w:rPr>
          <w:rFonts w:hint="eastAsia" w:ascii="宋体" w:cs="宋体"/>
          <w:color w:val="333333"/>
          <w:kern w:val="0"/>
          <w:szCs w:val="21"/>
        </w:rPr>
        <w:t>充电设施地上电缆通道应与居住区道路规划及区内环境相适应，应根据规划及最终电缆数量确定建设规模，应按终期规模一次建成。</w:t>
      </w:r>
    </w:p>
    <w:p>
      <w:pPr>
        <w:autoSpaceDE w:val="0"/>
        <w:autoSpaceDN w:val="0"/>
        <w:adjustRightInd w:val="0"/>
        <w:ind w:firstLine="420" w:firstLineChars="200"/>
        <w:jc w:val="left"/>
        <w:rPr>
          <w:rFonts w:hint="eastAsia" w:ascii="宋体" w:cs="宋体"/>
          <w:color w:val="333333"/>
          <w:kern w:val="0"/>
          <w:szCs w:val="21"/>
        </w:rPr>
      </w:pPr>
      <w:r>
        <w:rPr>
          <w:rFonts w:hint="eastAsia" w:ascii="宋体" w:cs="宋体"/>
          <w:color w:val="333333"/>
          <w:kern w:val="0"/>
          <w:szCs w:val="21"/>
        </w:rPr>
        <w:t>充电设施地上电缆通道根据使用场所、地质状况采取合适的敷设方式，可采用电缆排管、直埋穿管、电缆沟或直接接入等型式。</w:t>
      </w:r>
    </w:p>
    <w:p>
      <w:pPr>
        <w:autoSpaceDE w:val="0"/>
        <w:autoSpaceDN w:val="0"/>
        <w:adjustRightInd w:val="0"/>
        <w:spacing w:before="156" w:beforeLines="50" w:after="156" w:afterLines="50"/>
        <w:jc w:val="center"/>
        <w:rPr>
          <w:rFonts w:ascii="黑体" w:eastAsia="黑体" w:cs="黑体"/>
          <w:kern w:val="0"/>
          <w:szCs w:val="21"/>
        </w:rPr>
      </w:pPr>
      <w:r>
        <w:rPr>
          <w:rFonts w:hint="eastAsia" w:ascii="黑体" w:eastAsia="黑体" w:cs="黑体"/>
          <w:kern w:val="0"/>
          <w:szCs w:val="21"/>
        </w:rPr>
        <w:t>表5 通道方案划分</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90"/>
        <w:gridCol w:w="3190"/>
        <w:gridCol w:w="3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vAlign w:val="center"/>
          </w:tcPr>
          <w:p>
            <w:pPr>
              <w:autoSpaceDE w:val="0"/>
              <w:autoSpaceDN w:val="0"/>
              <w:adjustRightInd w:val="0"/>
              <w:jc w:val="center"/>
              <w:rPr>
                <w:rFonts w:hint="eastAsia"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编号</w:t>
            </w:r>
          </w:p>
        </w:tc>
        <w:tc>
          <w:tcPr>
            <w:tcW w:w="3190" w:type="dxa"/>
            <w:vAlign w:val="center"/>
          </w:tcPr>
          <w:p>
            <w:pPr>
              <w:autoSpaceDE w:val="0"/>
              <w:autoSpaceDN w:val="0"/>
              <w:adjustRightInd w:val="0"/>
              <w:jc w:val="center"/>
              <w:rPr>
                <w:rFonts w:hint="eastAsia"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敷设方式</w:t>
            </w:r>
          </w:p>
        </w:tc>
        <w:tc>
          <w:tcPr>
            <w:tcW w:w="3191" w:type="dxa"/>
            <w:vAlign w:val="center"/>
          </w:tcPr>
          <w:p>
            <w:pPr>
              <w:autoSpaceDE w:val="0"/>
              <w:autoSpaceDN w:val="0"/>
              <w:adjustRightInd w:val="0"/>
              <w:jc w:val="center"/>
              <w:rPr>
                <w:rFonts w:hint="eastAsia"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适用范围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vAlign w:val="center"/>
          </w:tcPr>
          <w:p>
            <w:pPr>
              <w:autoSpaceDE w:val="0"/>
              <w:autoSpaceDN w:val="0"/>
              <w:adjustRightInd w:val="0"/>
              <w:jc w:val="center"/>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L-1</w:t>
            </w:r>
          </w:p>
        </w:tc>
        <w:tc>
          <w:tcPr>
            <w:tcW w:w="3190" w:type="dxa"/>
            <w:vAlign w:val="center"/>
          </w:tcPr>
          <w:p>
            <w:pPr>
              <w:autoSpaceDE w:val="0"/>
              <w:autoSpaceDN w:val="0"/>
              <w:adjustRightInd w:val="0"/>
              <w:jc w:val="center"/>
              <w:rPr>
                <w:rFonts w:hint="eastAsia" w:ascii="宋体" w:cs="宋体"/>
                <w:color w:val="000000"/>
                <w:kern w:val="0"/>
                <w:sz w:val="18"/>
                <w:szCs w:val="18"/>
              </w:rPr>
            </w:pPr>
            <w:r>
              <w:rPr>
                <w:rFonts w:hint="eastAsia" w:ascii="宋体" w:cs="宋体"/>
                <w:color w:val="333333"/>
                <w:kern w:val="0"/>
                <w:sz w:val="18"/>
                <w:szCs w:val="18"/>
              </w:rPr>
              <w:t>电缆排管</w:t>
            </w:r>
          </w:p>
        </w:tc>
        <w:tc>
          <w:tcPr>
            <w:tcW w:w="3191" w:type="dxa"/>
            <w:vMerge w:val="restart"/>
            <w:vAlign w:val="center"/>
          </w:tcPr>
          <w:p>
            <w:pPr>
              <w:autoSpaceDE w:val="0"/>
              <w:autoSpaceDN w:val="0"/>
              <w:adjustRightInd w:val="0"/>
              <w:jc w:val="center"/>
              <w:rPr>
                <w:rFonts w:hint="eastAsia" w:ascii="宋体" w:cs="宋体"/>
                <w:color w:val="000000"/>
                <w:kern w:val="0"/>
                <w:sz w:val="18"/>
                <w:szCs w:val="18"/>
              </w:rPr>
            </w:pPr>
            <w:r>
              <w:rPr>
                <w:rFonts w:hint="eastAsia" w:ascii="宋体" w:cs="宋体"/>
                <w:color w:val="333333"/>
                <w:kern w:val="0"/>
                <w:sz w:val="18"/>
                <w:szCs w:val="18"/>
              </w:rPr>
              <w:t>电缆敷设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vAlign w:val="center"/>
          </w:tcPr>
          <w:p>
            <w:pPr>
              <w:autoSpaceDE w:val="0"/>
              <w:autoSpaceDN w:val="0"/>
              <w:adjustRightInd w:val="0"/>
              <w:jc w:val="center"/>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L-2</w:t>
            </w:r>
          </w:p>
        </w:tc>
        <w:tc>
          <w:tcPr>
            <w:tcW w:w="3190" w:type="dxa"/>
            <w:vAlign w:val="center"/>
          </w:tcPr>
          <w:p>
            <w:pPr>
              <w:autoSpaceDE w:val="0"/>
              <w:autoSpaceDN w:val="0"/>
              <w:adjustRightInd w:val="0"/>
              <w:jc w:val="center"/>
              <w:rPr>
                <w:rFonts w:hint="eastAsia" w:ascii="宋体" w:cs="宋体"/>
                <w:color w:val="000000"/>
                <w:kern w:val="0"/>
                <w:sz w:val="18"/>
                <w:szCs w:val="18"/>
              </w:rPr>
            </w:pPr>
            <w:r>
              <w:rPr>
                <w:rFonts w:hint="eastAsia" w:ascii="宋体" w:cs="宋体"/>
                <w:color w:val="333333"/>
                <w:kern w:val="0"/>
                <w:sz w:val="18"/>
                <w:szCs w:val="18"/>
              </w:rPr>
              <w:t>直埋穿管</w:t>
            </w:r>
          </w:p>
        </w:tc>
        <w:tc>
          <w:tcPr>
            <w:tcW w:w="3191" w:type="dxa"/>
            <w:vMerge w:val="continue"/>
            <w:vAlign w:val="center"/>
          </w:tcPr>
          <w:p>
            <w:pPr>
              <w:autoSpaceDE w:val="0"/>
              <w:autoSpaceDN w:val="0"/>
              <w:adjustRightInd w:val="0"/>
              <w:jc w:val="center"/>
              <w:rPr>
                <w:rFonts w:hint="eastAsia" w:cs="宋体" w:asciiTheme="minorEastAsia" w:hAnsiTheme="minorEastAsia" w:eastAsiaTheme="minorEastAsia"/>
                <w:color w:val="333333"/>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vAlign w:val="center"/>
          </w:tcPr>
          <w:p>
            <w:pPr>
              <w:autoSpaceDE w:val="0"/>
              <w:autoSpaceDN w:val="0"/>
              <w:adjustRightInd w:val="0"/>
              <w:jc w:val="center"/>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L-3</w:t>
            </w:r>
          </w:p>
        </w:tc>
        <w:tc>
          <w:tcPr>
            <w:tcW w:w="3190" w:type="dxa"/>
            <w:vAlign w:val="center"/>
          </w:tcPr>
          <w:p>
            <w:pPr>
              <w:autoSpaceDE w:val="0"/>
              <w:autoSpaceDN w:val="0"/>
              <w:adjustRightInd w:val="0"/>
              <w:jc w:val="center"/>
              <w:rPr>
                <w:rFonts w:hint="eastAsia" w:ascii="宋体" w:cs="宋体"/>
                <w:color w:val="000000"/>
                <w:kern w:val="0"/>
                <w:sz w:val="18"/>
                <w:szCs w:val="18"/>
              </w:rPr>
            </w:pPr>
            <w:r>
              <w:rPr>
                <w:rFonts w:hint="eastAsia" w:ascii="宋体" w:cs="宋体"/>
                <w:color w:val="333333"/>
                <w:kern w:val="0"/>
                <w:sz w:val="18"/>
                <w:szCs w:val="18"/>
              </w:rPr>
              <w:t>电缆沟</w:t>
            </w:r>
          </w:p>
        </w:tc>
        <w:tc>
          <w:tcPr>
            <w:tcW w:w="3191" w:type="dxa"/>
            <w:vMerge w:val="continue"/>
            <w:vAlign w:val="center"/>
          </w:tcPr>
          <w:p>
            <w:pPr>
              <w:autoSpaceDE w:val="0"/>
              <w:autoSpaceDN w:val="0"/>
              <w:adjustRightInd w:val="0"/>
              <w:jc w:val="center"/>
              <w:rPr>
                <w:rFonts w:hint="eastAsia" w:ascii="宋体" w:cs="宋体"/>
                <w:color w:val="00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0" w:type="dxa"/>
            <w:vAlign w:val="center"/>
          </w:tcPr>
          <w:p>
            <w:pPr>
              <w:autoSpaceDE w:val="0"/>
              <w:autoSpaceDN w:val="0"/>
              <w:adjustRightInd w:val="0"/>
              <w:jc w:val="center"/>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L-4</w:t>
            </w:r>
          </w:p>
        </w:tc>
        <w:tc>
          <w:tcPr>
            <w:tcW w:w="3190" w:type="dxa"/>
            <w:vAlign w:val="center"/>
          </w:tcPr>
          <w:p>
            <w:pPr>
              <w:autoSpaceDE w:val="0"/>
              <w:autoSpaceDN w:val="0"/>
              <w:adjustRightInd w:val="0"/>
              <w:jc w:val="center"/>
              <w:rPr>
                <w:rFonts w:hint="eastAsia" w:ascii="宋体" w:cs="宋体"/>
                <w:color w:val="000000"/>
                <w:kern w:val="0"/>
                <w:sz w:val="18"/>
                <w:szCs w:val="18"/>
              </w:rPr>
            </w:pPr>
            <w:r>
              <w:rPr>
                <w:rFonts w:hint="eastAsia" w:ascii="宋体" w:cs="宋体"/>
                <w:color w:val="333333"/>
                <w:kern w:val="0"/>
                <w:sz w:val="18"/>
                <w:szCs w:val="18"/>
              </w:rPr>
              <w:t>直接接入</w:t>
            </w:r>
          </w:p>
        </w:tc>
        <w:tc>
          <w:tcPr>
            <w:tcW w:w="3191" w:type="dxa"/>
            <w:vAlign w:val="center"/>
          </w:tcPr>
          <w:p>
            <w:pPr>
              <w:autoSpaceDE w:val="0"/>
              <w:autoSpaceDN w:val="0"/>
              <w:adjustRightInd w:val="0"/>
              <w:jc w:val="center"/>
              <w:rPr>
                <w:rFonts w:hint="eastAsia" w:cs="宋体" w:asciiTheme="minorEastAsia" w:hAnsiTheme="minorEastAsia" w:eastAsiaTheme="minorEastAsia"/>
                <w:color w:val="333333"/>
                <w:kern w:val="0"/>
                <w:sz w:val="18"/>
                <w:szCs w:val="18"/>
              </w:rPr>
            </w:pPr>
            <w:r>
              <w:rPr>
                <w:rFonts w:hint="eastAsia" w:ascii="宋体" w:cs="宋体"/>
                <w:color w:val="333333"/>
                <w:kern w:val="0"/>
                <w:sz w:val="18"/>
                <w:szCs w:val="18"/>
              </w:rPr>
              <w:t>架空线</w:t>
            </w:r>
            <w:r>
              <w:rPr>
                <w:rFonts w:ascii="宋体" w:cs="宋体"/>
                <w:color w:val="333333"/>
                <w:kern w:val="0"/>
                <w:sz w:val="18"/>
                <w:szCs w:val="18"/>
              </w:rPr>
              <w:t>T</w:t>
            </w:r>
            <w:r>
              <w:rPr>
                <w:rFonts w:hint="eastAsia" w:ascii="宋体" w:cs="宋体"/>
                <w:color w:val="333333"/>
                <w:kern w:val="0"/>
                <w:sz w:val="18"/>
                <w:szCs w:val="18"/>
              </w:rPr>
              <w:t>接</w:t>
            </w:r>
          </w:p>
        </w:tc>
      </w:tr>
    </w:tbl>
    <w:p>
      <w:pPr>
        <w:autoSpaceDE w:val="0"/>
        <w:autoSpaceDN w:val="0"/>
        <w:adjustRightInd w:val="0"/>
        <w:spacing w:before="156" w:beforeLines="50" w:after="156" w:afterLines="50"/>
        <w:jc w:val="left"/>
        <w:rPr>
          <w:rFonts w:ascii="黑体" w:eastAsia="黑体"/>
          <w:kern w:val="0"/>
          <w:szCs w:val="20"/>
        </w:rPr>
      </w:pPr>
      <w:r>
        <w:rPr>
          <w:rFonts w:hint="eastAsia" w:ascii="黑体" w:eastAsia="黑体"/>
          <w:kern w:val="0"/>
          <w:szCs w:val="20"/>
        </w:rPr>
        <w:t>6</w:t>
      </w:r>
      <w:r>
        <w:rPr>
          <w:rFonts w:ascii="黑体" w:eastAsia="黑体"/>
          <w:kern w:val="0"/>
          <w:szCs w:val="20"/>
        </w:rPr>
        <w:t xml:space="preserve">.1.4 </w:t>
      </w:r>
      <w:r>
        <w:rPr>
          <w:rFonts w:hint="eastAsia" w:ascii="黑体" w:eastAsia="黑体"/>
          <w:kern w:val="0"/>
          <w:szCs w:val="20"/>
        </w:rPr>
        <w:t>电缆分支箱及电能计量箱安装方案</w:t>
      </w:r>
    </w:p>
    <w:p>
      <w:pPr>
        <w:autoSpaceDE w:val="0"/>
        <w:autoSpaceDN w:val="0"/>
        <w:adjustRightInd w:val="0"/>
        <w:jc w:val="center"/>
        <w:rPr>
          <w:rFonts w:ascii="黑体" w:eastAsia="黑体"/>
          <w:kern w:val="0"/>
          <w:szCs w:val="20"/>
        </w:rPr>
      </w:pPr>
      <w:r>
        <w:rPr>
          <w:rFonts w:hint="eastAsia" w:ascii="黑体" w:eastAsia="黑体"/>
          <w:kern w:val="0"/>
          <w:szCs w:val="20"/>
        </w:rPr>
        <w:t>表6 电缆分支箱及电能计量箱方案划分</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5"/>
        <w:gridCol w:w="47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编号</w:t>
            </w:r>
          </w:p>
        </w:tc>
        <w:tc>
          <w:tcPr>
            <w:tcW w:w="4786"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安装方式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D-1</w:t>
            </w:r>
          </w:p>
        </w:tc>
        <w:tc>
          <w:tcPr>
            <w:tcW w:w="4786"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落地式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D-2</w:t>
            </w:r>
          </w:p>
        </w:tc>
        <w:tc>
          <w:tcPr>
            <w:tcW w:w="4786"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支架式</w:t>
            </w:r>
          </w:p>
        </w:tc>
      </w:tr>
    </w:tbl>
    <w:p>
      <w:pPr>
        <w:autoSpaceDE w:val="0"/>
        <w:autoSpaceDN w:val="0"/>
        <w:adjustRightInd w:val="0"/>
        <w:spacing w:before="156" w:beforeLines="50" w:after="156" w:afterLines="50"/>
        <w:jc w:val="left"/>
        <w:rPr>
          <w:rFonts w:ascii="黑体" w:eastAsia="黑体"/>
          <w:kern w:val="0"/>
          <w:szCs w:val="20"/>
        </w:rPr>
      </w:pPr>
      <w:r>
        <w:rPr>
          <w:rFonts w:hint="eastAsia" w:ascii="黑体" w:eastAsia="黑体"/>
          <w:kern w:val="0"/>
          <w:szCs w:val="20"/>
        </w:rPr>
        <w:t>6</w:t>
      </w:r>
      <w:r>
        <w:rPr>
          <w:rFonts w:ascii="黑体" w:eastAsia="黑体"/>
          <w:kern w:val="0"/>
          <w:szCs w:val="20"/>
        </w:rPr>
        <w:t xml:space="preserve">.1.5 </w:t>
      </w:r>
      <w:r>
        <w:rPr>
          <w:rFonts w:hint="eastAsia" w:ascii="黑体" w:eastAsia="黑体"/>
          <w:kern w:val="0"/>
          <w:szCs w:val="20"/>
        </w:rPr>
        <w:t>设计图</w:t>
      </w:r>
    </w:p>
    <w:p>
      <w:pPr>
        <w:autoSpaceDE w:val="0"/>
        <w:autoSpaceDN w:val="0"/>
        <w:adjustRightInd w:val="0"/>
        <w:jc w:val="left"/>
        <w:rPr>
          <w:rFonts w:hint="eastAsia" w:asciiTheme="minorEastAsia" w:hAnsiTheme="minorEastAsia" w:eastAsiaTheme="minorEastAsia"/>
          <w:kern w:val="0"/>
          <w:szCs w:val="20"/>
        </w:rPr>
      </w:pPr>
      <w:r>
        <w:rPr>
          <w:rFonts w:hint="eastAsia" w:asciiTheme="minorEastAsia" w:hAnsiTheme="minorEastAsia" w:eastAsiaTheme="minorEastAsia"/>
          <w:kern w:val="0"/>
          <w:szCs w:val="20"/>
        </w:rPr>
        <w:t xml:space="preserve">   地上方案设计图纸清单见附录A。</w:t>
      </w:r>
    </w:p>
    <w:p>
      <w:pPr>
        <w:keepNext w:val="0"/>
        <w:keepLines w:val="0"/>
        <w:pageBreakBefore w:val="0"/>
        <w:widowControl w:val="0"/>
        <w:kinsoku/>
        <w:wordWrap/>
        <w:overflowPunct/>
        <w:topLinePunct w:val="0"/>
        <w:autoSpaceDE w:val="0"/>
        <w:autoSpaceDN w:val="0"/>
        <w:bidi w:val="0"/>
        <w:adjustRightInd w:val="0"/>
        <w:snapToGrid/>
        <w:spacing w:before="156" w:beforeLines="50" w:after="156" w:afterLines="50"/>
        <w:jc w:val="left"/>
        <w:textAlignment w:val="auto"/>
        <w:outlineLvl w:val="0"/>
        <w:rPr>
          <w:rFonts w:hint="eastAsia" w:ascii="黑体" w:eastAsia="黑体"/>
          <w:kern w:val="0"/>
          <w:szCs w:val="20"/>
        </w:rPr>
      </w:pPr>
      <w:bookmarkStart w:id="110" w:name="_Toc18007"/>
      <w:r>
        <w:rPr>
          <w:rFonts w:hint="eastAsia" w:ascii="黑体" w:eastAsia="黑体"/>
          <w:kern w:val="0"/>
          <w:szCs w:val="20"/>
        </w:rPr>
        <w:t>6.2 地下方案</w:t>
      </w:r>
      <w:bookmarkEnd w:id="110"/>
    </w:p>
    <w:p>
      <w:pPr>
        <w:autoSpaceDE w:val="0"/>
        <w:autoSpaceDN w:val="0"/>
        <w:adjustRightInd w:val="0"/>
        <w:spacing w:before="156" w:beforeLines="50" w:after="156" w:afterLines="50"/>
        <w:jc w:val="left"/>
        <w:rPr>
          <w:rFonts w:ascii="黑体" w:eastAsia="黑体"/>
          <w:kern w:val="0"/>
          <w:szCs w:val="20"/>
        </w:rPr>
      </w:pPr>
      <w:r>
        <w:rPr>
          <w:rFonts w:hint="eastAsia" w:ascii="黑体" w:eastAsia="黑体"/>
          <w:kern w:val="0"/>
          <w:szCs w:val="20"/>
        </w:rPr>
        <w:t>6</w:t>
      </w:r>
      <w:r>
        <w:rPr>
          <w:rFonts w:ascii="黑体" w:eastAsia="黑体"/>
          <w:kern w:val="0"/>
          <w:szCs w:val="20"/>
        </w:rPr>
        <w:t xml:space="preserve">.2.1 </w:t>
      </w:r>
      <w:r>
        <w:rPr>
          <w:rFonts w:hint="eastAsia" w:ascii="黑体" w:eastAsia="黑体"/>
          <w:kern w:val="0"/>
          <w:szCs w:val="20"/>
        </w:rPr>
        <w:t>主要技术原则</w:t>
      </w:r>
    </w:p>
    <w:p>
      <w:pPr>
        <w:autoSpaceDE w:val="0"/>
        <w:autoSpaceDN w:val="0"/>
        <w:adjustRightInd w:val="0"/>
        <w:ind w:firstLine="210" w:firstLineChars="100"/>
        <w:jc w:val="left"/>
        <w:rPr>
          <w:rFonts w:asciiTheme="minorEastAsia" w:hAnsiTheme="minorEastAsia" w:eastAsiaTheme="minorEastAsia"/>
          <w:kern w:val="0"/>
          <w:szCs w:val="20"/>
        </w:rPr>
      </w:pPr>
      <w:r>
        <w:rPr>
          <w:rFonts w:asciiTheme="minorEastAsia" w:hAnsiTheme="minorEastAsia" w:eastAsiaTheme="minorEastAsia"/>
          <w:kern w:val="0"/>
          <w:szCs w:val="20"/>
        </w:rPr>
        <w:t>(1)</w:t>
      </w:r>
      <w:r>
        <w:rPr>
          <w:rFonts w:hint="eastAsia" w:asciiTheme="minorEastAsia" w:hAnsiTheme="minorEastAsia" w:eastAsiaTheme="minorEastAsia"/>
          <w:kern w:val="0"/>
          <w:szCs w:val="20"/>
        </w:rPr>
        <w:t>充电设施考虑为额定电流</w:t>
      </w:r>
      <w:r>
        <w:rPr>
          <w:rFonts w:asciiTheme="minorEastAsia" w:hAnsiTheme="minorEastAsia" w:eastAsiaTheme="minorEastAsia"/>
          <w:kern w:val="0"/>
          <w:szCs w:val="20"/>
        </w:rPr>
        <w:t>32A/</w:t>
      </w:r>
      <w:r>
        <w:rPr>
          <w:rFonts w:hint="eastAsia" w:asciiTheme="minorEastAsia" w:hAnsiTheme="minorEastAsia" w:eastAsiaTheme="minorEastAsia"/>
          <w:kern w:val="0"/>
          <w:szCs w:val="20"/>
        </w:rPr>
        <w:t>台交流充电桩。</w:t>
      </w:r>
    </w:p>
    <w:p>
      <w:pPr>
        <w:autoSpaceDE w:val="0"/>
        <w:autoSpaceDN w:val="0"/>
        <w:adjustRightInd w:val="0"/>
        <w:ind w:firstLine="210" w:firstLineChars="100"/>
        <w:jc w:val="left"/>
        <w:rPr>
          <w:rFonts w:asciiTheme="minorEastAsia" w:hAnsiTheme="minorEastAsia" w:eastAsiaTheme="minorEastAsia"/>
          <w:kern w:val="0"/>
          <w:szCs w:val="20"/>
        </w:rPr>
      </w:pPr>
      <w:r>
        <w:rPr>
          <w:rFonts w:asciiTheme="minorEastAsia" w:hAnsiTheme="minorEastAsia" w:eastAsiaTheme="minorEastAsia"/>
          <w:kern w:val="0"/>
          <w:szCs w:val="20"/>
        </w:rPr>
        <w:t>(2)</w:t>
      </w:r>
      <w:r>
        <w:rPr>
          <w:rFonts w:hint="eastAsia" w:asciiTheme="minorEastAsia" w:hAnsiTheme="minorEastAsia" w:eastAsiaTheme="minorEastAsia"/>
          <w:kern w:val="0"/>
          <w:szCs w:val="20"/>
        </w:rPr>
        <w:t>供电方式为低压柜出线</w:t>
      </w:r>
      <w:r>
        <w:rPr>
          <w:rFonts w:asciiTheme="minorEastAsia" w:hAnsiTheme="minorEastAsia" w:eastAsiaTheme="minorEastAsia"/>
          <w:kern w:val="0"/>
          <w:szCs w:val="20"/>
        </w:rPr>
        <w:t>--</w:t>
      </w:r>
      <w:r>
        <w:rPr>
          <w:rFonts w:hint="eastAsia" w:asciiTheme="minorEastAsia" w:hAnsiTheme="minorEastAsia" w:eastAsiaTheme="minorEastAsia"/>
          <w:kern w:val="0"/>
          <w:szCs w:val="20"/>
        </w:rPr>
        <w:t>电缆分支箱</w:t>
      </w:r>
      <w:r>
        <w:rPr>
          <w:rFonts w:asciiTheme="minorEastAsia" w:hAnsiTheme="minorEastAsia" w:eastAsiaTheme="minorEastAsia"/>
          <w:kern w:val="0"/>
          <w:szCs w:val="20"/>
        </w:rPr>
        <w:t>--</w:t>
      </w:r>
      <w:r>
        <w:rPr>
          <w:rFonts w:hint="eastAsia" w:asciiTheme="minorEastAsia" w:hAnsiTheme="minorEastAsia" w:eastAsiaTheme="minorEastAsia"/>
          <w:kern w:val="0"/>
          <w:szCs w:val="20"/>
        </w:rPr>
        <w:t>电能计量箱，采用电缆桥架安装方式。</w:t>
      </w:r>
    </w:p>
    <w:p>
      <w:pPr>
        <w:autoSpaceDE w:val="0"/>
        <w:autoSpaceDN w:val="0"/>
        <w:adjustRightInd w:val="0"/>
        <w:ind w:firstLine="210" w:firstLineChars="100"/>
        <w:jc w:val="left"/>
        <w:rPr>
          <w:rFonts w:asciiTheme="minorEastAsia" w:hAnsiTheme="minorEastAsia" w:eastAsiaTheme="minorEastAsia"/>
          <w:kern w:val="0"/>
          <w:szCs w:val="20"/>
        </w:rPr>
      </w:pPr>
      <w:r>
        <w:rPr>
          <w:rFonts w:asciiTheme="minorEastAsia" w:hAnsiTheme="minorEastAsia" w:eastAsiaTheme="minorEastAsia"/>
          <w:kern w:val="0"/>
          <w:szCs w:val="20"/>
        </w:rPr>
        <w:t>(3)</w:t>
      </w:r>
      <w:r>
        <w:rPr>
          <w:rFonts w:hint="eastAsia" w:asciiTheme="minorEastAsia" w:hAnsiTheme="minorEastAsia" w:eastAsiaTheme="minorEastAsia"/>
          <w:kern w:val="0"/>
          <w:szCs w:val="20"/>
        </w:rPr>
        <w:t>既有居住区地下车库计量箱宜采用壁挂式明装。</w:t>
      </w:r>
    </w:p>
    <w:p>
      <w:pPr>
        <w:autoSpaceDE w:val="0"/>
        <w:autoSpaceDN w:val="0"/>
        <w:adjustRightInd w:val="0"/>
        <w:ind w:firstLine="210" w:firstLineChars="100"/>
        <w:jc w:val="left"/>
        <w:rPr>
          <w:rFonts w:asciiTheme="minorEastAsia" w:hAnsiTheme="minorEastAsia" w:eastAsiaTheme="minorEastAsia"/>
          <w:kern w:val="0"/>
          <w:szCs w:val="20"/>
        </w:rPr>
      </w:pPr>
      <w:r>
        <w:rPr>
          <w:rFonts w:asciiTheme="minorEastAsia" w:hAnsiTheme="minorEastAsia" w:eastAsiaTheme="minorEastAsia"/>
          <w:kern w:val="0"/>
          <w:szCs w:val="20"/>
        </w:rPr>
        <w:t>(4)</w:t>
      </w:r>
      <w:r>
        <w:rPr>
          <w:rFonts w:hint="eastAsia" w:asciiTheme="minorEastAsia" w:hAnsiTheme="minorEastAsia" w:eastAsiaTheme="minorEastAsia"/>
          <w:kern w:val="0"/>
          <w:szCs w:val="20"/>
        </w:rPr>
        <w:t>地下车库内低压电缆分支箱及计量箱的安装应避开滞水、积水及墙体易渗漏水等区域。</w:t>
      </w:r>
    </w:p>
    <w:p>
      <w:pPr>
        <w:autoSpaceDE w:val="0"/>
        <w:autoSpaceDN w:val="0"/>
        <w:adjustRightInd w:val="0"/>
        <w:ind w:firstLine="210" w:firstLineChars="100"/>
        <w:jc w:val="left"/>
        <w:rPr>
          <w:rFonts w:asciiTheme="minorEastAsia" w:hAnsiTheme="minorEastAsia" w:eastAsiaTheme="minorEastAsia"/>
          <w:kern w:val="0"/>
          <w:szCs w:val="20"/>
        </w:rPr>
      </w:pPr>
      <w:r>
        <w:rPr>
          <w:rFonts w:asciiTheme="minorEastAsia" w:hAnsiTheme="minorEastAsia" w:eastAsiaTheme="minorEastAsia"/>
          <w:kern w:val="0"/>
          <w:szCs w:val="20"/>
        </w:rPr>
        <w:t>(5)</w:t>
      </w:r>
      <w:r>
        <w:rPr>
          <w:rFonts w:hint="eastAsia" w:asciiTheme="minorEastAsia" w:hAnsiTheme="minorEastAsia" w:eastAsiaTheme="minorEastAsia"/>
          <w:kern w:val="0"/>
          <w:szCs w:val="20"/>
        </w:rPr>
        <w:t>低压电缆分支箱及计量箱的安装应满足现场设备通道的正常运输要求，外观、标识应保持一致，与环境相协调。</w:t>
      </w:r>
    </w:p>
    <w:p>
      <w:pPr>
        <w:autoSpaceDE w:val="0"/>
        <w:autoSpaceDN w:val="0"/>
        <w:adjustRightInd w:val="0"/>
        <w:ind w:firstLine="210" w:firstLineChars="100"/>
        <w:jc w:val="left"/>
        <w:rPr>
          <w:rFonts w:asciiTheme="minorEastAsia" w:hAnsiTheme="minorEastAsia" w:eastAsiaTheme="minorEastAsia"/>
          <w:kern w:val="0"/>
          <w:szCs w:val="20"/>
        </w:rPr>
      </w:pPr>
      <w:r>
        <w:rPr>
          <w:rFonts w:asciiTheme="minorEastAsia" w:hAnsiTheme="minorEastAsia" w:eastAsiaTheme="minorEastAsia"/>
          <w:kern w:val="0"/>
          <w:szCs w:val="20"/>
        </w:rPr>
        <w:t>(6)</w:t>
      </w:r>
      <w:r>
        <w:rPr>
          <w:rFonts w:hint="eastAsia" w:asciiTheme="minorEastAsia" w:hAnsiTheme="minorEastAsia" w:eastAsiaTheme="minorEastAsia"/>
          <w:kern w:val="0"/>
          <w:szCs w:val="20"/>
        </w:rPr>
        <w:t>电缆及通道应符合防火防腐等规定；电缆桥架内所有金属构件应采取热镀锌防腐，并可靠接地；电缆引至分支箱及计量箱的孔洞处、电缆管孔处均应实施阻火封堵；电缆终端和电缆密集区应采取涂刷防火涂料等防火措施。</w:t>
      </w:r>
    </w:p>
    <w:p>
      <w:pPr>
        <w:autoSpaceDE w:val="0"/>
        <w:autoSpaceDN w:val="0"/>
        <w:adjustRightInd w:val="0"/>
        <w:spacing w:before="156" w:beforeLines="50" w:after="156" w:afterLines="50"/>
        <w:jc w:val="left"/>
        <w:rPr>
          <w:rFonts w:ascii="黑体" w:eastAsia="黑体"/>
          <w:kern w:val="0"/>
          <w:szCs w:val="20"/>
        </w:rPr>
      </w:pPr>
      <w:r>
        <w:rPr>
          <w:rFonts w:hint="eastAsia" w:ascii="黑体" w:eastAsia="黑体"/>
          <w:kern w:val="0"/>
          <w:szCs w:val="20"/>
        </w:rPr>
        <w:t>6</w:t>
      </w:r>
      <w:r>
        <w:rPr>
          <w:rFonts w:ascii="黑体" w:eastAsia="黑体"/>
          <w:kern w:val="0"/>
          <w:szCs w:val="20"/>
        </w:rPr>
        <w:t xml:space="preserve">.2.2 </w:t>
      </w:r>
      <w:r>
        <w:rPr>
          <w:rFonts w:hint="eastAsia" w:ascii="黑体" w:eastAsia="黑体"/>
          <w:kern w:val="0"/>
          <w:szCs w:val="20"/>
        </w:rPr>
        <w:t>设备选型</w:t>
      </w:r>
    </w:p>
    <w:p>
      <w:pPr>
        <w:autoSpaceDE w:val="0"/>
        <w:autoSpaceDN w:val="0"/>
        <w:adjustRightInd w:val="0"/>
        <w:ind w:firstLine="420" w:firstLineChars="200"/>
        <w:jc w:val="left"/>
        <w:rPr>
          <w:rFonts w:ascii="TimesNewRomanPSMT" w:eastAsia="TimesNewRomanPSMT" w:cs="TimesNewRomanPSMT"/>
          <w:color w:val="000000"/>
          <w:kern w:val="0"/>
          <w:sz w:val="20"/>
          <w:szCs w:val="20"/>
        </w:rPr>
      </w:pPr>
      <w:r>
        <w:rPr>
          <w:rFonts w:hint="eastAsia" w:asciiTheme="minorEastAsia" w:hAnsiTheme="minorEastAsia" w:eastAsiaTheme="minorEastAsia"/>
          <w:kern w:val="0"/>
          <w:szCs w:val="21"/>
        </w:rPr>
        <w:t>常用电能计量箱设备选型见表7。</w:t>
      </w:r>
    </w:p>
    <w:p>
      <w:pPr>
        <w:autoSpaceDE w:val="0"/>
        <w:autoSpaceDN w:val="0"/>
        <w:adjustRightInd w:val="0"/>
        <w:spacing w:before="156" w:beforeLines="50" w:after="156" w:afterLines="50"/>
        <w:jc w:val="center"/>
        <w:rPr>
          <w:rFonts w:hint="eastAsia" w:ascii="黑体" w:eastAsia="黑体" w:cs="黑体"/>
          <w:kern w:val="0"/>
          <w:szCs w:val="21"/>
        </w:rPr>
      </w:pPr>
      <w:r>
        <w:rPr>
          <w:rFonts w:hint="eastAsia" w:ascii="黑体" w:eastAsia="黑体" w:cs="黑体"/>
          <w:kern w:val="0"/>
          <w:szCs w:val="21"/>
        </w:rPr>
        <w:t>表7</w:t>
      </w:r>
      <w:r>
        <w:rPr>
          <w:rFonts w:ascii="黑体" w:eastAsia="黑体" w:cs="黑体"/>
          <w:kern w:val="0"/>
          <w:szCs w:val="21"/>
        </w:rPr>
        <w:t xml:space="preserve"> </w:t>
      </w:r>
      <w:r>
        <w:rPr>
          <w:rFonts w:hint="eastAsia" w:ascii="黑体" w:eastAsia="黑体" w:cs="黑体"/>
          <w:kern w:val="0"/>
          <w:szCs w:val="21"/>
        </w:rPr>
        <w:t>电能计量箱设备选型表及数量需求</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560"/>
        <w:gridCol w:w="1701"/>
        <w:gridCol w:w="1701"/>
        <w:gridCol w:w="1984"/>
        <w:gridCol w:w="1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序号</w:t>
            </w:r>
          </w:p>
        </w:tc>
        <w:tc>
          <w:tcPr>
            <w:tcW w:w="1560"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充电桩额定电流</w:t>
            </w:r>
            <w:r>
              <w:rPr>
                <w:rFonts w:cs="黑体" w:asciiTheme="minorEastAsia" w:hAnsiTheme="minorEastAsia" w:eastAsiaTheme="minorEastAsia"/>
                <w:color w:val="333333"/>
                <w:kern w:val="0"/>
                <w:sz w:val="18"/>
                <w:szCs w:val="18"/>
              </w:rPr>
              <w:t>(A)</w:t>
            </w:r>
          </w:p>
        </w:tc>
        <w:tc>
          <w:tcPr>
            <w:tcW w:w="1701"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用电设备数</w:t>
            </w:r>
            <w:r>
              <w:rPr>
                <w:rFonts w:cs="黑体" w:asciiTheme="minorEastAsia" w:hAnsiTheme="minorEastAsia" w:eastAsiaTheme="minorEastAsia"/>
                <w:color w:val="333333"/>
                <w:kern w:val="0"/>
                <w:sz w:val="18"/>
                <w:szCs w:val="18"/>
              </w:rPr>
              <w:t>(</w:t>
            </w:r>
            <w:r>
              <w:rPr>
                <w:rFonts w:hint="eastAsia" w:cs="黑体" w:asciiTheme="minorEastAsia" w:hAnsiTheme="minorEastAsia" w:eastAsiaTheme="minorEastAsia"/>
                <w:color w:val="333333"/>
                <w:kern w:val="0"/>
                <w:sz w:val="18"/>
                <w:szCs w:val="18"/>
              </w:rPr>
              <w:t>个</w:t>
            </w:r>
            <w:r>
              <w:rPr>
                <w:rFonts w:cs="黑体" w:asciiTheme="minorEastAsia" w:hAnsiTheme="minorEastAsia" w:eastAsiaTheme="minorEastAsia"/>
                <w:color w:val="333333"/>
                <w:kern w:val="0"/>
                <w:sz w:val="18"/>
                <w:szCs w:val="18"/>
              </w:rPr>
              <w:t>)</w:t>
            </w:r>
          </w:p>
        </w:tc>
        <w:tc>
          <w:tcPr>
            <w:tcW w:w="1701"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电能计量箱表位数</w:t>
            </w:r>
            <w:r>
              <w:rPr>
                <w:rFonts w:cs="黑体" w:asciiTheme="minorEastAsia" w:hAnsiTheme="minorEastAsia" w:eastAsiaTheme="minorEastAsia"/>
                <w:color w:val="333333"/>
                <w:kern w:val="0"/>
                <w:sz w:val="18"/>
                <w:szCs w:val="18"/>
              </w:rPr>
              <w:t>(</w:t>
            </w:r>
            <w:r>
              <w:rPr>
                <w:rFonts w:hint="eastAsia" w:cs="黑体" w:asciiTheme="minorEastAsia" w:hAnsiTheme="minorEastAsia" w:eastAsiaTheme="minorEastAsia"/>
                <w:color w:val="333333"/>
                <w:kern w:val="0"/>
                <w:sz w:val="18"/>
                <w:szCs w:val="18"/>
              </w:rPr>
              <w:t>个</w:t>
            </w:r>
            <w:r>
              <w:rPr>
                <w:rFonts w:cs="黑体" w:asciiTheme="minorEastAsia" w:hAnsiTheme="minorEastAsia" w:eastAsiaTheme="minorEastAsia"/>
                <w:color w:val="333333"/>
                <w:kern w:val="0"/>
                <w:sz w:val="18"/>
                <w:szCs w:val="18"/>
              </w:rPr>
              <w:t>)</w:t>
            </w:r>
          </w:p>
        </w:tc>
        <w:tc>
          <w:tcPr>
            <w:tcW w:w="1984"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电能计量箱容量</w:t>
            </w:r>
            <w:r>
              <w:rPr>
                <w:rFonts w:cs="黑体" w:asciiTheme="minorEastAsia" w:hAnsiTheme="minorEastAsia" w:eastAsiaTheme="minorEastAsia"/>
                <w:color w:val="333333"/>
                <w:kern w:val="0"/>
                <w:sz w:val="18"/>
                <w:szCs w:val="18"/>
              </w:rPr>
              <w:t>(kW)</w:t>
            </w:r>
          </w:p>
        </w:tc>
        <w:tc>
          <w:tcPr>
            <w:tcW w:w="1950" w:type="dxa"/>
            <w:vAlign w:val="center"/>
          </w:tcPr>
          <w:p>
            <w:pPr>
              <w:autoSpaceDE w:val="0"/>
              <w:autoSpaceDN w:val="0"/>
              <w:adjustRightInd w:val="0"/>
              <w:jc w:val="center"/>
              <w:rPr>
                <w:rFonts w:hint="eastAsia"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电能计量箱进线电缆</w:t>
            </w:r>
            <w:r>
              <w:rPr>
                <w:rFonts w:cs="黑体" w:asciiTheme="minorEastAsia" w:hAnsiTheme="minorEastAsia" w:eastAsiaTheme="minorEastAsia"/>
                <w:color w:val="333333"/>
                <w:kern w:val="0"/>
                <w:sz w:val="18"/>
                <w:szCs w:val="18"/>
              </w:rPr>
              <w:t>(mm</w:t>
            </w:r>
            <w:r>
              <w:rPr>
                <w:rFonts w:cs="ArialMT" w:asciiTheme="minorEastAsia" w:hAnsiTheme="minorEastAsia" w:eastAsiaTheme="minorEastAsia"/>
                <w:color w:val="333333"/>
                <w:kern w:val="0"/>
                <w:sz w:val="18"/>
                <w:szCs w:val="18"/>
              </w:rPr>
              <w:t>2</w:t>
            </w:r>
            <w:r>
              <w:rPr>
                <w:rFonts w:cs="黑体" w:asciiTheme="minorEastAsia" w:hAnsiTheme="minorEastAsia" w:eastAsiaTheme="minorEastAsia"/>
                <w:color w:val="333333"/>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w:t>
            </w:r>
          </w:p>
        </w:tc>
        <w:tc>
          <w:tcPr>
            <w:tcW w:w="1560" w:type="dxa"/>
            <w:vMerge w:val="restart"/>
            <w:vAlign w:val="center"/>
          </w:tcPr>
          <w:p>
            <w:pPr>
              <w:autoSpaceDE w:val="0"/>
              <w:autoSpaceDN w:val="0"/>
              <w:adjustRightInd w:val="0"/>
              <w:jc w:val="center"/>
              <w:rPr>
                <w:rFonts w:hint="eastAsia"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32</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cs="宋体" w:asciiTheme="minorEastAsia" w:hAnsiTheme="minorEastAsia" w:eastAsiaTheme="minorEastAsia"/>
                <w:color w:val="333333"/>
                <w:kern w:val="0"/>
                <w:sz w:val="18"/>
                <w:szCs w:val="18"/>
              </w:rPr>
              <w:t>10~12</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hint="eastAsia" w:cs="黑体" w:asciiTheme="minorEastAsia" w:hAnsiTheme="minorEastAsia" w:eastAsiaTheme="minorEastAsia"/>
                <w:kern w:val="0"/>
                <w:sz w:val="18"/>
                <w:szCs w:val="18"/>
              </w:rPr>
              <w:t>12</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84</w:t>
            </w:r>
          </w:p>
        </w:tc>
        <w:tc>
          <w:tcPr>
            <w:tcW w:w="1950" w:type="dxa"/>
            <w:vMerge w:val="restart"/>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r>
              <w:rPr>
                <w:rFonts w:cs="黑体" w:asciiTheme="minorEastAsia" w:hAnsiTheme="minorEastAsia" w:eastAsiaTheme="minorEastAsia"/>
                <w:kern w:val="0"/>
                <w:sz w:val="18"/>
                <w:szCs w:val="18"/>
              </w:rPr>
              <w:t>4</w:t>
            </w:r>
            <w:r>
              <w:rPr>
                <w:rFonts w:hint="eastAsia" w:cs="黑体" w:asciiTheme="minorEastAsia" w:hAnsiTheme="minorEastAsia" w:eastAsiaTheme="minorEastAsia"/>
                <w:kern w:val="0"/>
                <w:sz w:val="18"/>
                <w:szCs w:val="18"/>
              </w:rPr>
              <w:t>×</w:t>
            </w:r>
            <w:r>
              <w:rPr>
                <w:rFonts w:cs="黑体" w:asciiTheme="minorEastAsia" w:hAnsiTheme="minorEastAsia" w:eastAsiaTheme="minorEastAsia"/>
                <w:kern w:val="0"/>
                <w:sz w:val="18"/>
                <w:szCs w:val="18"/>
              </w:rPr>
              <w:t>35+1</w:t>
            </w:r>
            <w:r>
              <w:rPr>
                <w:rFonts w:hint="eastAsia" w:cs="黑体" w:asciiTheme="minorEastAsia" w:hAnsiTheme="minorEastAsia" w:eastAsiaTheme="minorEastAsia"/>
                <w:kern w:val="0"/>
                <w:sz w:val="18"/>
                <w:szCs w:val="18"/>
              </w:rPr>
              <w:t>×</w:t>
            </w:r>
            <w:r>
              <w:rPr>
                <w:rFonts w:cs="黑体" w:asciiTheme="minorEastAsia" w:hAnsiTheme="minorEastAsia" w:eastAsiaTheme="minorEastAsia"/>
                <w:kern w:val="0"/>
                <w:sz w:val="18"/>
                <w:szCs w:val="18"/>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w:t>
            </w:r>
          </w:p>
        </w:tc>
        <w:tc>
          <w:tcPr>
            <w:tcW w:w="1560" w:type="dxa"/>
            <w:vMerge w:val="continue"/>
          </w:tcPr>
          <w:p>
            <w:pPr>
              <w:autoSpaceDE w:val="0"/>
              <w:autoSpaceDN w:val="0"/>
              <w:adjustRightInd w:val="0"/>
              <w:jc w:val="left"/>
              <w:rPr>
                <w:rFonts w:hint="eastAsia" w:cs="黑体" w:asciiTheme="minorEastAsia" w:hAnsiTheme="minorEastAsia" w:eastAsiaTheme="minorEastAsia"/>
                <w:kern w:val="0"/>
                <w:sz w:val="18"/>
                <w:szCs w:val="18"/>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7~9</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9</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宋体" w:asciiTheme="minorEastAsia" w:hAnsiTheme="minorEastAsia" w:eastAsiaTheme="minorEastAsia"/>
                <w:color w:val="333333"/>
                <w:kern w:val="0"/>
                <w:sz w:val="18"/>
                <w:szCs w:val="18"/>
              </w:rPr>
              <w:t>≤63</w:t>
            </w:r>
          </w:p>
        </w:tc>
        <w:tc>
          <w:tcPr>
            <w:tcW w:w="1950" w:type="dxa"/>
            <w:vMerge w:val="continue"/>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3</w:t>
            </w:r>
          </w:p>
        </w:tc>
        <w:tc>
          <w:tcPr>
            <w:tcW w:w="1560" w:type="dxa"/>
            <w:vMerge w:val="continue"/>
          </w:tcPr>
          <w:p>
            <w:pPr>
              <w:autoSpaceDE w:val="0"/>
              <w:autoSpaceDN w:val="0"/>
              <w:adjustRightInd w:val="0"/>
              <w:jc w:val="left"/>
              <w:rPr>
                <w:rFonts w:hint="eastAsia" w:cs="黑体" w:asciiTheme="minorEastAsia" w:hAnsiTheme="minorEastAsia" w:eastAsiaTheme="minorEastAsia"/>
                <w:kern w:val="0"/>
                <w:sz w:val="18"/>
                <w:szCs w:val="18"/>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5~6</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6</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宋体" w:asciiTheme="minorEastAsia" w:hAnsiTheme="minorEastAsia" w:eastAsiaTheme="minorEastAsia"/>
                <w:color w:val="333333"/>
                <w:kern w:val="0"/>
                <w:sz w:val="18"/>
                <w:szCs w:val="18"/>
              </w:rPr>
              <w:t>≤42</w:t>
            </w:r>
          </w:p>
        </w:tc>
        <w:tc>
          <w:tcPr>
            <w:tcW w:w="1950" w:type="dxa"/>
            <w:vMerge w:val="continue"/>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560" w:type="dxa"/>
            <w:vMerge w:val="continue"/>
          </w:tcPr>
          <w:p>
            <w:pPr>
              <w:autoSpaceDE w:val="0"/>
              <w:autoSpaceDN w:val="0"/>
              <w:adjustRightInd w:val="0"/>
              <w:jc w:val="left"/>
              <w:rPr>
                <w:rFonts w:hint="eastAsia" w:cs="黑体" w:asciiTheme="minorEastAsia" w:hAnsiTheme="minorEastAsia" w:eastAsiaTheme="minorEastAsia"/>
                <w:kern w:val="0"/>
                <w:sz w:val="18"/>
                <w:szCs w:val="18"/>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1~4</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4</w:t>
            </w:r>
          </w:p>
        </w:tc>
        <w:tc>
          <w:tcPr>
            <w:tcW w:w="1984"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宋体" w:cs="宋体"/>
                <w:color w:val="000000"/>
                <w:kern w:val="0"/>
                <w:sz w:val="18"/>
                <w:szCs w:val="18"/>
              </w:rPr>
            </w:pPr>
            <w:r>
              <w:rPr>
                <w:rFonts w:hint="eastAsia" w:cs="宋体" w:asciiTheme="minorEastAsia" w:hAnsiTheme="minorEastAsia" w:eastAsiaTheme="minorEastAsia"/>
                <w:color w:val="333333"/>
                <w:kern w:val="0"/>
                <w:sz w:val="18"/>
                <w:szCs w:val="18"/>
              </w:rPr>
              <w:t>≤</w:t>
            </w:r>
            <w:r>
              <w:rPr>
                <w:rFonts w:ascii="宋体" w:cs="宋体"/>
                <w:color w:val="333333"/>
                <w:kern w:val="0"/>
                <w:sz w:val="18"/>
                <w:szCs w:val="18"/>
              </w:rPr>
              <w:t>28</w:t>
            </w:r>
          </w:p>
        </w:tc>
        <w:tc>
          <w:tcPr>
            <w:tcW w:w="1950" w:type="dxa"/>
            <w:vMerge w:val="continue"/>
            <w:vAlign w:val="center"/>
          </w:tcPr>
          <w:p>
            <w:pPr>
              <w:autoSpaceDE w:val="0"/>
              <w:autoSpaceDN w:val="0"/>
              <w:adjustRightInd w:val="0"/>
              <w:spacing w:before="156" w:beforeLines="50" w:after="156" w:afterLines="50"/>
              <w:jc w:val="center"/>
              <w:rPr>
                <w:rFonts w:hint="eastAsia" w:cs="黑体" w:asciiTheme="minorEastAsia" w:hAnsiTheme="minorEastAsia" w:eastAsiaTheme="minorEastAsia"/>
                <w:kern w:val="0"/>
                <w:sz w:val="18"/>
                <w:szCs w:val="18"/>
              </w:rPr>
            </w:pPr>
          </w:p>
        </w:tc>
      </w:tr>
    </w:tbl>
    <w:p>
      <w:pPr>
        <w:autoSpaceDE w:val="0"/>
        <w:autoSpaceDN w:val="0"/>
        <w:adjustRightInd w:val="0"/>
        <w:spacing w:before="156" w:beforeLines="50" w:after="156" w:afterLines="50"/>
        <w:jc w:val="center"/>
        <w:rPr>
          <w:rFonts w:hint="eastAsia" w:ascii="黑体" w:eastAsia="黑体" w:cs="黑体"/>
          <w:kern w:val="0"/>
          <w:szCs w:val="21"/>
        </w:rPr>
      </w:pPr>
      <w:r>
        <w:rPr>
          <w:rFonts w:hint="eastAsia" w:ascii="黑体" w:eastAsia="黑体" w:cs="黑体"/>
          <w:kern w:val="0"/>
          <w:szCs w:val="21"/>
        </w:rPr>
        <w:t>表8</w:t>
      </w:r>
      <w:r>
        <w:rPr>
          <w:rFonts w:ascii="黑体" w:eastAsia="黑体" w:cs="黑体"/>
          <w:kern w:val="0"/>
          <w:szCs w:val="21"/>
        </w:rPr>
        <w:t xml:space="preserve"> </w:t>
      </w:r>
      <w:r>
        <w:rPr>
          <w:rFonts w:hint="eastAsia" w:ascii="黑体" w:eastAsia="黑体" w:cs="黑体"/>
          <w:kern w:val="0"/>
          <w:szCs w:val="21"/>
        </w:rPr>
        <w:t>电能计量箱设备选型表</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3"/>
        <w:gridCol w:w="809"/>
        <w:gridCol w:w="600"/>
        <w:gridCol w:w="2263"/>
        <w:gridCol w:w="936"/>
        <w:gridCol w:w="1296"/>
        <w:gridCol w:w="936"/>
        <w:gridCol w:w="1206"/>
        <w:gridCol w:w="423"/>
        <w:gridCol w:w="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单回出线带分支箱数量</w:t>
            </w:r>
            <w:r>
              <w:rPr>
                <w:rFonts w:cs="黑体" w:asciiTheme="minorEastAsia" w:hAnsiTheme="minorEastAsia" w:eastAsiaTheme="minorEastAsia"/>
                <w:color w:val="333333"/>
                <w:kern w:val="0"/>
                <w:sz w:val="18"/>
                <w:szCs w:val="18"/>
              </w:rPr>
              <w:t>(</w:t>
            </w:r>
            <w:r>
              <w:rPr>
                <w:rFonts w:hint="eastAsia" w:cs="黑体" w:asciiTheme="minorEastAsia" w:hAnsiTheme="minorEastAsia" w:eastAsiaTheme="minorEastAsia"/>
                <w:color w:val="333333"/>
                <w:kern w:val="0"/>
                <w:sz w:val="18"/>
                <w:szCs w:val="18"/>
              </w:rPr>
              <w:t>只</w:t>
            </w:r>
            <w:r>
              <w:rPr>
                <w:rFonts w:cs="黑体" w:asciiTheme="minorEastAsia" w:hAnsiTheme="minorEastAsia" w:eastAsiaTheme="minorEastAsia"/>
                <w:color w:val="333333"/>
                <w:kern w:val="0"/>
                <w:sz w:val="18"/>
                <w:szCs w:val="18"/>
              </w:rPr>
              <w:t>)</w:t>
            </w:r>
          </w:p>
        </w:tc>
        <w:tc>
          <w:tcPr>
            <w:tcW w:w="809" w:type="dxa"/>
            <w:vMerge w:val="restart"/>
            <w:vAlign w:val="center"/>
          </w:tcPr>
          <w:p>
            <w:pPr>
              <w:autoSpaceDE w:val="0"/>
              <w:autoSpaceDN w:val="0"/>
              <w:adjustRightInd w:val="0"/>
              <w:jc w:val="center"/>
              <w:rPr>
                <w:rFonts w:cs="黑体" w:asciiTheme="minorEastAsia" w:hAnsiTheme="minorEastAsia" w:eastAsiaTheme="minorEastAsia"/>
                <w:color w:val="333333"/>
                <w:kern w:val="0"/>
                <w:sz w:val="18"/>
                <w:szCs w:val="18"/>
              </w:rPr>
            </w:pPr>
            <w:r>
              <w:rPr>
                <w:rFonts w:hint="eastAsia" w:cs="黑体" w:asciiTheme="minorEastAsia" w:hAnsiTheme="minorEastAsia" w:eastAsiaTheme="minorEastAsia"/>
                <w:color w:val="333333"/>
                <w:kern w:val="0"/>
                <w:sz w:val="18"/>
                <w:szCs w:val="18"/>
              </w:rPr>
              <w:t>分支箱接线形式</w:t>
            </w:r>
          </w:p>
        </w:tc>
        <w:tc>
          <w:tcPr>
            <w:tcW w:w="600"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分支箱规格</w:t>
            </w:r>
          </w:p>
        </w:tc>
        <w:tc>
          <w:tcPr>
            <w:tcW w:w="3199" w:type="dxa"/>
            <w:gridSpan w:val="2"/>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r>
              <w:rPr>
                <w:rFonts w:hint="eastAsia" w:cs="黑体" w:asciiTheme="minorEastAsia" w:hAnsiTheme="minorEastAsia" w:eastAsiaTheme="minorEastAsia"/>
                <w:color w:val="333333"/>
                <w:kern w:val="0"/>
                <w:sz w:val="18"/>
                <w:szCs w:val="18"/>
              </w:rPr>
              <w:t>配电室至分支箱</w:t>
            </w:r>
          </w:p>
        </w:tc>
        <w:tc>
          <w:tcPr>
            <w:tcW w:w="2232" w:type="dxa"/>
            <w:gridSpan w:val="2"/>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主分支箱至次级分支箱</w:t>
            </w:r>
          </w:p>
        </w:tc>
        <w:tc>
          <w:tcPr>
            <w:tcW w:w="1206"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分支箱至电表箱电缆规格</w:t>
            </w:r>
          </w:p>
        </w:tc>
        <w:tc>
          <w:tcPr>
            <w:tcW w:w="423"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计量箱规格</w:t>
            </w:r>
          </w:p>
        </w:tc>
        <w:tc>
          <w:tcPr>
            <w:tcW w:w="509" w:type="dxa"/>
            <w:vMerge w:val="restart"/>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最大车位数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809" w:type="dxa"/>
            <w:vMerge w:val="continue"/>
            <w:vAlign w:val="center"/>
          </w:tcPr>
          <w:p>
            <w:pPr>
              <w:autoSpaceDE w:val="0"/>
              <w:autoSpaceDN w:val="0"/>
              <w:adjustRightInd w:val="0"/>
              <w:jc w:val="center"/>
              <w:rPr>
                <w:rFonts w:cs="黑体" w:asciiTheme="minorEastAsia" w:hAnsiTheme="minorEastAsia" w:eastAsiaTheme="minorEastAsia"/>
                <w:color w:val="333333"/>
                <w:kern w:val="0"/>
                <w:sz w:val="18"/>
                <w:szCs w:val="18"/>
              </w:rPr>
            </w:pPr>
          </w:p>
        </w:tc>
        <w:tc>
          <w:tcPr>
            <w:tcW w:w="600"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2263"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电缆规格</w:t>
            </w:r>
          </w:p>
        </w:tc>
        <w:tc>
          <w:tcPr>
            <w:tcW w:w="936"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桥架规格</w:t>
            </w:r>
          </w:p>
        </w:tc>
        <w:tc>
          <w:tcPr>
            <w:tcW w:w="1296"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电缆规格</w:t>
            </w:r>
          </w:p>
        </w:tc>
        <w:tc>
          <w:tcPr>
            <w:tcW w:w="936" w:type="dxa"/>
            <w:vAlign w:val="center"/>
          </w:tcPr>
          <w:p>
            <w:pPr>
              <w:autoSpaceDE w:val="0"/>
              <w:autoSpaceDN w:val="0"/>
              <w:adjustRightInd w:val="0"/>
              <w:jc w:val="center"/>
              <w:rPr>
                <w:rFonts w:cs="黑体" w:asciiTheme="minorEastAsia" w:hAnsiTheme="minorEastAsia" w:eastAsiaTheme="minorEastAsia"/>
                <w:color w:val="000000"/>
                <w:kern w:val="0"/>
                <w:sz w:val="18"/>
                <w:szCs w:val="18"/>
              </w:rPr>
            </w:pPr>
            <w:r>
              <w:rPr>
                <w:rFonts w:hint="eastAsia" w:cs="黑体" w:asciiTheme="minorEastAsia" w:hAnsiTheme="minorEastAsia" w:eastAsiaTheme="minorEastAsia"/>
                <w:color w:val="333333"/>
                <w:kern w:val="0"/>
                <w:sz w:val="18"/>
                <w:szCs w:val="18"/>
              </w:rPr>
              <w:t>桥架规格</w:t>
            </w:r>
          </w:p>
        </w:tc>
        <w:tc>
          <w:tcPr>
            <w:tcW w:w="1206"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423"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c>
          <w:tcPr>
            <w:tcW w:w="509" w:type="dxa"/>
            <w:vMerge w:val="continue"/>
            <w:vAlign w:val="center"/>
          </w:tcPr>
          <w:p>
            <w:pPr>
              <w:autoSpaceDE w:val="0"/>
              <w:autoSpaceDN w:val="0"/>
              <w:adjustRightInd w:val="0"/>
              <w:spacing w:before="156" w:beforeLines="50" w:after="156" w:afterLines="50"/>
              <w:jc w:val="center"/>
              <w:rPr>
                <w:rFonts w:cs="黑体" w:asciiTheme="minorEastAsia" w:hAnsiTheme="minorEastAsia" w:eastAsia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w:t>
            </w:r>
          </w:p>
        </w:tc>
        <w:tc>
          <w:tcPr>
            <w:tcW w:w="809"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主</w:t>
            </w:r>
          </w:p>
        </w:tc>
        <w:tc>
          <w:tcPr>
            <w:tcW w:w="600" w:type="dxa"/>
            <w:vMerge w:val="restart"/>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333333"/>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进</w:t>
            </w:r>
            <w:r>
              <w:rPr>
                <w:rFonts w:cs="宋体" w:asciiTheme="minorEastAsia" w:hAnsiTheme="minorEastAsia" w:eastAsiaTheme="minorEastAsia"/>
                <w:color w:val="333333"/>
                <w:kern w:val="0"/>
                <w:sz w:val="18"/>
                <w:szCs w:val="18"/>
              </w:rPr>
              <w:t>6</w:t>
            </w:r>
            <w:r>
              <w:rPr>
                <w:rFonts w:hint="eastAsia" w:cs="宋体" w:asciiTheme="minorEastAsia" w:hAnsiTheme="minorEastAsia" w:eastAsiaTheme="minorEastAsia"/>
                <w:color w:val="333333"/>
                <w:kern w:val="0"/>
                <w:sz w:val="18"/>
                <w:szCs w:val="18"/>
              </w:rPr>
              <w:t>出</w:t>
            </w:r>
          </w:p>
        </w:tc>
        <w:tc>
          <w:tcPr>
            <w:tcW w:w="226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200×100</w:t>
            </w:r>
          </w:p>
        </w:tc>
        <w:tc>
          <w:tcPr>
            <w:tcW w:w="129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w:t>
            </w:r>
          </w:p>
        </w:tc>
        <w:tc>
          <w:tcPr>
            <w:tcW w:w="120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35+1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16</w:t>
            </w:r>
          </w:p>
        </w:tc>
        <w:tc>
          <w:tcPr>
            <w:tcW w:w="423" w:type="dxa"/>
            <w:vMerge w:val="restart"/>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12</w:t>
            </w:r>
            <w:r>
              <w:rPr>
                <w:rFonts w:hint="eastAsia" w:cs="宋体" w:asciiTheme="minorEastAsia" w:hAnsiTheme="minorEastAsia" w:eastAsiaTheme="minorEastAsia"/>
                <w:color w:val="333333"/>
                <w:kern w:val="0"/>
                <w:sz w:val="18"/>
                <w:szCs w:val="18"/>
              </w:rPr>
              <w:t>表位</w:t>
            </w:r>
          </w:p>
        </w:tc>
        <w:tc>
          <w:tcPr>
            <w:tcW w:w="509"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w:t>
            </w:r>
          </w:p>
        </w:tc>
        <w:tc>
          <w:tcPr>
            <w:tcW w:w="809"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主</w:t>
            </w: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分</w:t>
            </w:r>
          </w:p>
        </w:tc>
        <w:tc>
          <w:tcPr>
            <w:tcW w:w="6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p>
        </w:tc>
        <w:tc>
          <w:tcPr>
            <w:tcW w:w="226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240+1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120/2</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200×100</w:t>
            </w:r>
          </w:p>
        </w:tc>
        <w:tc>
          <w:tcPr>
            <w:tcW w:w="129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200×100</w:t>
            </w:r>
          </w:p>
        </w:tc>
        <w:tc>
          <w:tcPr>
            <w:tcW w:w="120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35+1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16</w:t>
            </w:r>
          </w:p>
        </w:tc>
        <w:tc>
          <w:tcPr>
            <w:tcW w:w="42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p>
        </w:tc>
        <w:tc>
          <w:tcPr>
            <w:tcW w:w="509"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3</w:t>
            </w:r>
          </w:p>
        </w:tc>
        <w:tc>
          <w:tcPr>
            <w:tcW w:w="809"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1</w:t>
            </w:r>
            <w:r>
              <w:rPr>
                <w:rFonts w:hint="eastAsia" w:cs="宋体" w:asciiTheme="minorEastAsia" w:hAnsiTheme="minorEastAsia" w:eastAsiaTheme="minorEastAsia"/>
                <w:color w:val="333333"/>
                <w:kern w:val="0"/>
                <w:sz w:val="18"/>
                <w:szCs w:val="18"/>
              </w:rPr>
              <w:t>主</w:t>
            </w:r>
            <w:r>
              <w:rPr>
                <w:rFonts w:cs="宋体" w:asciiTheme="minorEastAsia" w:hAnsiTheme="minorEastAsia" w:eastAsiaTheme="minorEastAsia"/>
                <w:color w:val="333333"/>
                <w:kern w:val="0"/>
                <w:sz w:val="18"/>
                <w:szCs w:val="18"/>
              </w:rPr>
              <w:t>2</w:t>
            </w:r>
            <w:r>
              <w:rPr>
                <w:rFonts w:hint="eastAsia" w:cs="宋体" w:asciiTheme="minorEastAsia" w:hAnsiTheme="minorEastAsia" w:eastAsiaTheme="minorEastAsia"/>
                <w:color w:val="333333"/>
                <w:kern w:val="0"/>
                <w:sz w:val="18"/>
                <w:szCs w:val="18"/>
              </w:rPr>
              <w:t>分</w:t>
            </w:r>
          </w:p>
        </w:tc>
        <w:tc>
          <w:tcPr>
            <w:tcW w:w="6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p>
        </w:tc>
        <w:tc>
          <w:tcPr>
            <w:tcW w:w="226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2</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200×100</w:t>
            </w:r>
          </w:p>
        </w:tc>
        <w:tc>
          <w:tcPr>
            <w:tcW w:w="129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150+1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95</w:t>
            </w:r>
          </w:p>
        </w:tc>
        <w:tc>
          <w:tcPr>
            <w:tcW w:w="93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200×100</w:t>
            </w:r>
          </w:p>
        </w:tc>
        <w:tc>
          <w:tcPr>
            <w:tcW w:w="1206"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333333"/>
                <w:kern w:val="0"/>
                <w:sz w:val="18"/>
                <w:szCs w:val="18"/>
              </w:rPr>
              <w:t>4</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35+1</w:t>
            </w:r>
            <w:r>
              <w:rPr>
                <w:rFonts w:hint="eastAsia" w:cs="宋体" w:asciiTheme="minorEastAsia" w:hAnsiTheme="minorEastAsia" w:eastAsiaTheme="minorEastAsia"/>
                <w:color w:val="333333"/>
                <w:kern w:val="0"/>
                <w:sz w:val="18"/>
                <w:szCs w:val="18"/>
              </w:rPr>
              <w:t>×</w:t>
            </w:r>
            <w:r>
              <w:rPr>
                <w:rFonts w:cs="宋体" w:asciiTheme="minorEastAsia" w:hAnsiTheme="minorEastAsia" w:eastAsiaTheme="minorEastAsia"/>
                <w:color w:val="333333"/>
                <w:kern w:val="0"/>
                <w:sz w:val="18"/>
                <w:szCs w:val="18"/>
              </w:rPr>
              <w:t>16</w:t>
            </w:r>
          </w:p>
        </w:tc>
        <w:tc>
          <w:tcPr>
            <w:tcW w:w="42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p>
        </w:tc>
        <w:tc>
          <w:tcPr>
            <w:tcW w:w="509"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156</w:t>
            </w:r>
          </w:p>
        </w:tc>
      </w:tr>
    </w:tbl>
    <w:p>
      <w:pPr>
        <w:autoSpaceDE w:val="0"/>
        <w:autoSpaceDN w:val="0"/>
        <w:adjustRightInd w:val="0"/>
        <w:spacing w:before="156" w:beforeLines="50" w:after="156" w:afterLines="50"/>
        <w:jc w:val="left"/>
        <w:rPr>
          <w:rFonts w:ascii="黑体" w:eastAsia="黑体"/>
          <w:kern w:val="0"/>
          <w:szCs w:val="20"/>
        </w:rPr>
      </w:pPr>
      <w:r>
        <w:rPr>
          <w:rFonts w:hint="eastAsia" w:ascii="黑体" w:eastAsia="黑体"/>
          <w:kern w:val="0"/>
          <w:szCs w:val="20"/>
        </w:rPr>
        <w:t>6</w:t>
      </w:r>
      <w:r>
        <w:rPr>
          <w:rFonts w:ascii="黑体" w:eastAsia="黑体"/>
          <w:kern w:val="0"/>
          <w:szCs w:val="20"/>
        </w:rPr>
        <w:t xml:space="preserve">.2.3 </w:t>
      </w:r>
      <w:r>
        <w:rPr>
          <w:rFonts w:hint="eastAsia" w:ascii="黑体" w:eastAsia="黑体"/>
          <w:kern w:val="0"/>
          <w:szCs w:val="20"/>
        </w:rPr>
        <w:t>通道方案</w:t>
      </w:r>
    </w:p>
    <w:p>
      <w:pPr>
        <w:autoSpaceDE w:val="0"/>
        <w:autoSpaceDN w:val="0"/>
        <w:adjustRightInd w:val="0"/>
        <w:ind w:firstLine="420" w:firstLineChars="200"/>
        <w:jc w:val="left"/>
        <w:rPr>
          <w:rFonts w:asciiTheme="minorEastAsia" w:hAnsiTheme="minorEastAsia" w:eastAsiaTheme="minorEastAsia"/>
          <w:kern w:val="0"/>
          <w:szCs w:val="20"/>
        </w:rPr>
      </w:pPr>
      <w:r>
        <w:rPr>
          <w:rFonts w:hint="eastAsia" w:asciiTheme="minorEastAsia" w:hAnsiTheme="minorEastAsia" w:eastAsiaTheme="minorEastAsia"/>
          <w:kern w:val="0"/>
          <w:szCs w:val="20"/>
        </w:rPr>
        <w:t>充电设施地下电缆通道应与居住区地下车库规划及区内环境相适应，应根据规划及最终电缆数量确定建设规模，应按终期规模一次建成。电缆通道根据使用场所采取合适的敷设方式，宜采用电缆桥架接入型式。</w:t>
      </w:r>
    </w:p>
    <w:p>
      <w:pPr>
        <w:autoSpaceDE w:val="0"/>
        <w:autoSpaceDN w:val="0"/>
        <w:adjustRightInd w:val="0"/>
        <w:spacing w:before="156" w:beforeLines="50" w:after="156" w:afterLines="50"/>
        <w:jc w:val="left"/>
        <w:rPr>
          <w:rFonts w:ascii="黑体" w:eastAsia="黑体"/>
          <w:kern w:val="0"/>
          <w:szCs w:val="20"/>
        </w:rPr>
      </w:pPr>
      <w:r>
        <w:rPr>
          <w:rFonts w:hint="eastAsia" w:ascii="黑体" w:eastAsia="黑体"/>
          <w:kern w:val="0"/>
          <w:szCs w:val="20"/>
        </w:rPr>
        <w:t>6</w:t>
      </w:r>
      <w:r>
        <w:rPr>
          <w:rFonts w:ascii="黑体" w:eastAsia="黑体"/>
          <w:kern w:val="0"/>
          <w:szCs w:val="20"/>
        </w:rPr>
        <w:t xml:space="preserve">.2.4 </w:t>
      </w:r>
      <w:r>
        <w:rPr>
          <w:rFonts w:hint="eastAsia" w:ascii="黑体" w:eastAsia="黑体"/>
          <w:kern w:val="0"/>
          <w:szCs w:val="20"/>
        </w:rPr>
        <w:t>电缆分支箱及电能计量箱安装方案</w:t>
      </w:r>
    </w:p>
    <w:p>
      <w:pPr>
        <w:autoSpaceDE w:val="0"/>
        <w:autoSpaceDN w:val="0"/>
        <w:adjustRightInd w:val="0"/>
        <w:ind w:firstLine="420" w:firstLineChars="200"/>
        <w:jc w:val="left"/>
        <w:rPr>
          <w:rFonts w:asciiTheme="minorEastAsia" w:hAnsiTheme="minorEastAsia" w:eastAsiaTheme="minorEastAsia"/>
          <w:kern w:val="0"/>
          <w:szCs w:val="20"/>
        </w:rPr>
      </w:pPr>
      <w:r>
        <w:rPr>
          <w:rFonts w:hint="eastAsia" w:asciiTheme="minorEastAsia" w:hAnsiTheme="minorEastAsia" w:eastAsiaTheme="minorEastAsia"/>
          <w:kern w:val="0"/>
          <w:szCs w:val="20"/>
        </w:rPr>
        <w:t>地下车库设置的电缆分支箱及多表位集中计量箱，应按照防火分区集中布置，计量箱安装地点应靠近车位，布置方式参考图7至图18。当防火分区中，设置多个防火单元时</w:t>
      </w:r>
      <w:r>
        <w:rPr>
          <w:rFonts w:asciiTheme="minorEastAsia" w:hAnsiTheme="minorEastAsia" w:eastAsiaTheme="minorEastAsia"/>
          <w:kern w:val="0"/>
          <w:szCs w:val="20"/>
        </w:rPr>
        <w:t>(</w:t>
      </w:r>
      <w:r>
        <w:rPr>
          <w:rFonts w:hint="eastAsia" w:asciiTheme="minorEastAsia" w:hAnsiTheme="minorEastAsia" w:eastAsiaTheme="minorEastAsia"/>
          <w:kern w:val="0"/>
          <w:szCs w:val="20"/>
        </w:rPr>
        <w:t>防火单元一般不超过</w:t>
      </w:r>
      <w:r>
        <w:rPr>
          <w:rFonts w:asciiTheme="minorEastAsia" w:hAnsiTheme="minorEastAsia" w:eastAsiaTheme="minorEastAsia"/>
          <w:kern w:val="0"/>
          <w:szCs w:val="20"/>
        </w:rPr>
        <w:t>1000m</w:t>
      </w:r>
      <w:r>
        <w:rPr>
          <w:rFonts w:asciiTheme="minorEastAsia" w:hAnsiTheme="minorEastAsia" w:eastAsiaTheme="minorEastAsia"/>
          <w:kern w:val="0"/>
          <w:szCs w:val="20"/>
          <w:vertAlign w:val="superscript"/>
        </w:rPr>
        <w:t>2</w:t>
      </w:r>
      <w:r>
        <w:rPr>
          <w:rFonts w:asciiTheme="minorEastAsia" w:hAnsiTheme="minorEastAsia" w:eastAsiaTheme="minorEastAsia"/>
          <w:kern w:val="0"/>
          <w:szCs w:val="20"/>
        </w:rPr>
        <w:t>)</w:t>
      </w:r>
      <w:r>
        <w:rPr>
          <w:rFonts w:hint="eastAsia" w:asciiTheme="minorEastAsia" w:hAnsiTheme="minorEastAsia" w:eastAsiaTheme="minorEastAsia"/>
          <w:kern w:val="0"/>
          <w:szCs w:val="20"/>
        </w:rPr>
        <w:t>，宜按防火单元各设置</w:t>
      </w:r>
      <w:r>
        <w:rPr>
          <w:rFonts w:asciiTheme="minorEastAsia" w:hAnsiTheme="minorEastAsia" w:eastAsiaTheme="minorEastAsia"/>
          <w:kern w:val="0"/>
          <w:szCs w:val="20"/>
        </w:rPr>
        <w:t>1</w:t>
      </w:r>
      <w:r>
        <w:rPr>
          <w:rFonts w:hint="eastAsia" w:asciiTheme="minorEastAsia" w:hAnsiTheme="minorEastAsia" w:eastAsiaTheme="minorEastAsia"/>
          <w:kern w:val="0"/>
          <w:szCs w:val="20"/>
        </w:rPr>
        <w:t>个电缆分支箱，设备布置参考图16至图18。电缆穿防火分区</w:t>
      </w:r>
      <w:r>
        <w:rPr>
          <w:rFonts w:asciiTheme="minorEastAsia" w:hAnsiTheme="minorEastAsia" w:eastAsiaTheme="minorEastAsia"/>
          <w:kern w:val="0"/>
          <w:szCs w:val="20"/>
        </w:rPr>
        <w:t>(</w:t>
      </w:r>
      <w:r>
        <w:rPr>
          <w:rFonts w:hint="eastAsia" w:asciiTheme="minorEastAsia" w:hAnsiTheme="minorEastAsia" w:eastAsiaTheme="minorEastAsia"/>
          <w:kern w:val="0"/>
          <w:szCs w:val="20"/>
        </w:rPr>
        <w:t>单元</w:t>
      </w:r>
      <w:r>
        <w:rPr>
          <w:rFonts w:asciiTheme="minorEastAsia" w:hAnsiTheme="minorEastAsia" w:eastAsiaTheme="minorEastAsia"/>
          <w:kern w:val="0"/>
          <w:szCs w:val="20"/>
        </w:rPr>
        <w:t>)</w:t>
      </w:r>
      <w:r>
        <w:rPr>
          <w:rFonts w:hint="eastAsia" w:asciiTheme="minorEastAsia" w:hAnsiTheme="minorEastAsia" w:eastAsiaTheme="minorEastAsia"/>
          <w:kern w:val="0"/>
          <w:szCs w:val="20"/>
        </w:rPr>
        <w:t>或楼板时应注意防火封堵，做法示意见图9至图11。</w:t>
      </w:r>
    </w:p>
    <w:p>
      <w:pPr>
        <w:autoSpaceDE w:val="0"/>
        <w:autoSpaceDN w:val="0"/>
        <w:adjustRightInd w:val="0"/>
        <w:ind w:firstLine="420" w:firstLineChars="200"/>
        <w:jc w:val="left"/>
        <w:rPr>
          <w:rFonts w:hint="eastAsia" w:asciiTheme="minorEastAsia" w:hAnsiTheme="minorEastAsia" w:eastAsiaTheme="minorEastAsia"/>
          <w:kern w:val="0"/>
          <w:szCs w:val="20"/>
          <w:lang w:eastAsia="zh-CN"/>
        </w:rPr>
      </w:pPr>
      <w:r>
        <w:rPr>
          <w:rFonts w:hint="eastAsia" w:asciiTheme="minorEastAsia" w:hAnsiTheme="minorEastAsia" w:eastAsiaTheme="minorEastAsia"/>
          <w:kern w:val="0"/>
          <w:szCs w:val="20"/>
        </w:rPr>
        <w:t>主要安装要求如下</w:t>
      </w:r>
      <w:r>
        <w:rPr>
          <w:rFonts w:hint="eastAsia" w:asciiTheme="minorEastAsia" w:hAnsiTheme="minorEastAsia" w:eastAsiaTheme="minorEastAsia"/>
          <w:kern w:val="0"/>
          <w:szCs w:val="20"/>
          <w:lang w:eastAsia="zh-CN"/>
        </w:rPr>
        <w:t>：</w:t>
      </w:r>
    </w:p>
    <w:p>
      <w:pPr>
        <w:autoSpaceDE w:val="0"/>
        <w:autoSpaceDN w:val="0"/>
        <w:adjustRightInd w:val="0"/>
        <w:ind w:firstLine="420" w:firstLineChars="200"/>
        <w:jc w:val="left"/>
        <w:rPr>
          <w:rFonts w:asciiTheme="minorEastAsia" w:hAnsiTheme="minorEastAsia" w:eastAsiaTheme="minorEastAsia"/>
          <w:kern w:val="0"/>
          <w:szCs w:val="20"/>
        </w:rPr>
      </w:pPr>
      <w:r>
        <w:rPr>
          <w:rFonts w:asciiTheme="minorEastAsia" w:hAnsiTheme="minorEastAsia" w:eastAsiaTheme="minorEastAsia"/>
          <w:kern w:val="0"/>
          <w:szCs w:val="20"/>
        </w:rPr>
        <w:t>(1)</w:t>
      </w:r>
      <w:r>
        <w:rPr>
          <w:rFonts w:hint="eastAsia" w:asciiTheme="minorEastAsia" w:hAnsiTheme="minorEastAsia" w:eastAsiaTheme="minorEastAsia"/>
          <w:kern w:val="0"/>
          <w:szCs w:val="20"/>
        </w:rPr>
        <w:t>在地下车场，电缆分支箱及电能计量箱一般集中安装在公共墙面或通道，放置地点不得影响汽车正常通行或设备运输；</w:t>
      </w:r>
    </w:p>
    <w:p>
      <w:pPr>
        <w:autoSpaceDE w:val="0"/>
        <w:autoSpaceDN w:val="0"/>
        <w:adjustRightInd w:val="0"/>
        <w:ind w:firstLine="420" w:firstLineChars="200"/>
        <w:jc w:val="left"/>
        <w:rPr>
          <w:rFonts w:hint="eastAsia" w:asciiTheme="minorEastAsia" w:hAnsiTheme="minorEastAsia" w:eastAsiaTheme="minorEastAsia"/>
          <w:kern w:val="0"/>
          <w:szCs w:val="20"/>
        </w:rPr>
      </w:pPr>
      <w:r>
        <w:rPr>
          <w:rFonts w:asciiTheme="minorEastAsia" w:hAnsiTheme="minorEastAsia" w:eastAsiaTheme="minorEastAsia"/>
          <w:kern w:val="0"/>
          <w:szCs w:val="20"/>
        </w:rPr>
        <w:t>(2)</w:t>
      </w:r>
      <w:r>
        <w:rPr>
          <w:rFonts w:hint="eastAsia" w:asciiTheme="minorEastAsia" w:hAnsiTheme="minorEastAsia" w:eastAsiaTheme="minorEastAsia"/>
          <w:kern w:val="0"/>
          <w:szCs w:val="20"/>
        </w:rPr>
        <w:t>地下车库壁挂式明装计量箱下沿距所在地坪高度不宜小于</w:t>
      </w:r>
      <w:r>
        <w:rPr>
          <w:rFonts w:asciiTheme="minorEastAsia" w:hAnsiTheme="minorEastAsia" w:eastAsiaTheme="minorEastAsia"/>
          <w:kern w:val="0"/>
          <w:szCs w:val="20"/>
        </w:rPr>
        <w:t>1.5m</w:t>
      </w:r>
      <w:r>
        <w:rPr>
          <w:rFonts w:hint="eastAsia" w:asciiTheme="minorEastAsia" w:hAnsiTheme="minorEastAsia" w:eastAsiaTheme="minorEastAsia"/>
          <w:kern w:val="0"/>
          <w:szCs w:val="20"/>
        </w:rPr>
        <w:t>；</w:t>
      </w:r>
    </w:p>
    <w:p>
      <w:pPr>
        <w:autoSpaceDE w:val="0"/>
        <w:autoSpaceDN w:val="0"/>
        <w:adjustRightInd w:val="0"/>
        <w:spacing w:before="156" w:beforeLines="50" w:after="156" w:afterLines="50"/>
        <w:jc w:val="center"/>
        <w:rPr>
          <w:rFonts w:ascii="黑体" w:eastAsia="黑体"/>
          <w:kern w:val="0"/>
          <w:szCs w:val="20"/>
        </w:rPr>
      </w:pPr>
      <w:r>
        <w:rPr>
          <w:rFonts w:hint="eastAsia" w:ascii="黑体" w:eastAsia="黑体"/>
          <w:kern w:val="0"/>
          <w:szCs w:val="20"/>
        </w:rPr>
        <w:t>表9 电缆分支箱及电能计量箱方案划分</w:t>
      </w:r>
    </w:p>
    <w:tbl>
      <w:tblPr>
        <w:tblStyle w:val="4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43"/>
        <w:gridCol w:w="3828"/>
        <w:gridCol w:w="2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294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编号</w:t>
            </w:r>
          </w:p>
        </w:tc>
        <w:tc>
          <w:tcPr>
            <w:tcW w:w="3828" w:type="dxa"/>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安装方式</w:t>
            </w:r>
          </w:p>
        </w:tc>
        <w:tc>
          <w:tcPr>
            <w:tcW w:w="2800"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安装场所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9" w:hRule="atLeast"/>
        </w:trPr>
        <w:tc>
          <w:tcPr>
            <w:tcW w:w="294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D-1</w:t>
            </w:r>
          </w:p>
        </w:tc>
        <w:tc>
          <w:tcPr>
            <w:tcW w:w="3828" w:type="dxa"/>
            <w:vMerge w:val="restart"/>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壁挂式</w:t>
            </w:r>
          </w:p>
        </w:tc>
        <w:tc>
          <w:tcPr>
            <w:tcW w:w="2800"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充电桩电表间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4" w:hRule="atLeast"/>
        </w:trPr>
        <w:tc>
          <w:tcPr>
            <w:tcW w:w="294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D-2</w:t>
            </w:r>
          </w:p>
        </w:tc>
        <w:tc>
          <w:tcPr>
            <w:tcW w:w="3828"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cs="黑体" w:asciiTheme="minorEastAsia" w:hAnsiTheme="minorEastAsia" w:eastAsiaTheme="minorEastAsia"/>
                <w:kern w:val="0"/>
                <w:sz w:val="18"/>
                <w:szCs w:val="18"/>
              </w:rPr>
            </w:pPr>
          </w:p>
        </w:tc>
        <w:tc>
          <w:tcPr>
            <w:tcW w:w="2800"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入户大厅公共区域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04" w:hRule="atLeast"/>
        </w:trPr>
        <w:tc>
          <w:tcPr>
            <w:tcW w:w="2943" w:type="dxa"/>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D-3</w:t>
            </w:r>
          </w:p>
        </w:tc>
        <w:tc>
          <w:tcPr>
            <w:tcW w:w="3828" w:type="dxa"/>
            <w:vMerge w:val="continue"/>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p>
        </w:tc>
        <w:tc>
          <w:tcPr>
            <w:tcW w:w="2800" w:type="dxa"/>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cs="黑体" w:asciiTheme="minorEastAsia" w:hAnsiTheme="minorEastAsia" w:eastAsiaTheme="minorEastAsia"/>
                <w:kern w:val="0"/>
                <w:sz w:val="18"/>
                <w:szCs w:val="18"/>
              </w:rPr>
            </w:pPr>
            <w:r>
              <w:rPr>
                <w:rFonts w:hint="eastAsia" w:cs="黑体" w:asciiTheme="minorEastAsia" w:hAnsiTheme="minorEastAsia" w:eastAsiaTheme="minorEastAsia"/>
                <w:kern w:val="0"/>
                <w:sz w:val="18"/>
                <w:szCs w:val="18"/>
              </w:rPr>
              <w:t>靠墙安装</w:t>
            </w:r>
          </w:p>
        </w:tc>
      </w:tr>
      <w:bookmarkEnd w:id="53"/>
      <w:bookmarkEnd w:id="55"/>
      <w:bookmarkEnd w:id="56"/>
      <w:bookmarkEnd w:id="57"/>
    </w:tbl>
    <w:p>
      <w:pPr>
        <w:pStyle w:val="183"/>
        <w:keepNext w:val="0"/>
        <w:keepLines w:val="0"/>
        <w:pageBreakBefore w:val="0"/>
        <w:widowControl/>
        <w:kinsoku/>
        <w:wordWrap/>
        <w:overflowPunct/>
        <w:topLinePunct w:val="0"/>
        <w:autoSpaceDE/>
        <w:autoSpaceDN/>
        <w:bidi w:val="0"/>
        <w:adjustRightInd/>
        <w:snapToGrid/>
        <w:spacing w:beforeLines="0" w:afterLines="0"/>
        <w:textAlignment w:val="auto"/>
        <w:outlineLvl w:val="9"/>
        <w:rPr>
          <w:rFonts w:hint="eastAsia"/>
        </w:rPr>
      </w:pPr>
      <w:bookmarkStart w:id="111" w:name="_Toc25696"/>
      <w:bookmarkStart w:id="112" w:name="_Toc4835"/>
      <w:bookmarkStart w:id="113" w:name="_Toc39908150"/>
      <w:bookmarkStart w:id="114" w:name="_Toc3899"/>
    </w:p>
    <w:p>
      <w:pPr>
        <w:rPr>
          <w:rFonts w:hint="eastAsia"/>
        </w:rPr>
      </w:pPr>
      <w:bookmarkStart w:id="115" w:name="_Toc14808"/>
      <w:r>
        <w:rPr>
          <w:rFonts w:hint="eastAsia"/>
        </w:rPr>
        <w:br w:type="page"/>
      </w:r>
    </w:p>
    <w:p>
      <w:pPr>
        <w:pStyle w:val="183"/>
        <w:spacing w:beforeLines="0" w:afterLines="0"/>
      </w:pPr>
      <w:r>
        <w:rPr>
          <w:rFonts w:hint="eastAsia"/>
        </w:rPr>
        <w:t>附 录 A</w:t>
      </w:r>
      <w:r>
        <w:br w:type="textWrapping"/>
      </w:r>
      <w:r>
        <w:rPr>
          <w:rFonts w:hint="eastAsia"/>
        </w:rPr>
        <w:t>（资料性）</w:t>
      </w:r>
      <w:r>
        <w:rPr>
          <w:rFonts w:hint="eastAsia"/>
        </w:rPr>
        <w:br w:type="textWrapping"/>
      </w:r>
      <w:r>
        <w:rPr>
          <w:rFonts w:hint="eastAsia"/>
        </w:rPr>
        <w:t>地上方案设计图</w:t>
      </w:r>
      <w:bookmarkEnd w:id="115"/>
    </w:p>
    <w:p>
      <w:pPr>
        <w:pStyle w:val="330"/>
        <w:tabs>
          <w:tab w:val="left" w:pos="567"/>
        </w:tabs>
        <w:spacing w:before="156" w:beforeLines="50" w:after="156" w:afterLines="50"/>
        <w:ind w:firstLine="0" w:firstLineChars="0"/>
        <w:rPr>
          <w:rFonts w:ascii="黑体" w:hAnsi="黑体" w:eastAsia="黑体"/>
          <w:kern w:val="2"/>
          <w:sz w:val="21"/>
          <w:szCs w:val="21"/>
        </w:rPr>
      </w:pPr>
      <w:r>
        <w:rPr>
          <w:rFonts w:hint="eastAsia" w:ascii="黑体" w:hAnsi="黑体" w:eastAsia="黑体"/>
          <w:kern w:val="2"/>
          <w:sz w:val="21"/>
          <w:szCs w:val="21"/>
        </w:rPr>
        <w:t xml:space="preserve">A.1 </w:t>
      </w:r>
      <w:bookmarkEnd w:id="111"/>
      <w:bookmarkEnd w:id="112"/>
      <w:r>
        <w:rPr>
          <w:rFonts w:hint="eastAsia" w:ascii="黑体" w:hAnsi="黑体" w:eastAsia="黑体"/>
          <w:kern w:val="2"/>
          <w:sz w:val="21"/>
          <w:szCs w:val="21"/>
        </w:rPr>
        <w:t>地上方案设计图</w:t>
      </w:r>
    </w:p>
    <w:p>
      <w:pPr>
        <w:autoSpaceDE w:val="0"/>
        <w:autoSpaceDN w:val="0"/>
        <w:adjustRightInd w:val="0"/>
        <w:jc w:val="left"/>
        <w:rPr>
          <w:rFonts w:ascii="宋体" w:hAnsi="宋体"/>
          <w:szCs w:val="21"/>
        </w:rPr>
      </w:pPr>
      <w:r>
        <w:rPr>
          <w:rFonts w:hint="eastAsia" w:ascii="宋体" w:hAnsi="宋体"/>
          <w:szCs w:val="21"/>
        </w:rPr>
        <w:t xml:space="preserve">    图A.1给出了地上方案示意图</w:t>
      </w:r>
      <w:bookmarkStart w:id="116" w:name="_Toc15932"/>
      <w:bookmarkStart w:id="117" w:name="_Toc24328"/>
      <w:r>
        <w:rPr>
          <w:rFonts w:hint="eastAsia" w:ascii="宋体" w:hAnsi="宋体"/>
          <w:szCs w:val="21"/>
        </w:rPr>
        <w:t>。</w:t>
      </w:r>
    </w:p>
    <w:p>
      <w:pPr>
        <w:autoSpaceDE w:val="0"/>
        <w:autoSpaceDN w:val="0"/>
        <w:adjustRightInd w:val="0"/>
        <w:jc w:val="left"/>
        <w:rPr>
          <w:rFonts w:ascii="宋体" w:hAnsi="宋体"/>
          <w:szCs w:val="21"/>
        </w:rPr>
      </w:pPr>
      <w:r>
        <w:rPr>
          <w:rFonts w:ascii="宋体" w:hAnsi="宋体"/>
          <w:szCs w:val="21"/>
        </w:rPr>
        <w:drawing>
          <wp:inline distT="0" distB="0" distL="0" distR="0">
            <wp:extent cx="5940425" cy="4352925"/>
            <wp:effectExtent l="0" t="0" r="3175" b="9525"/>
            <wp:docPr id="13" name="图片 13" descr="C:\Users\Administrator\Documents\WeChat Files\wxid_5906509065512\FileStorage\Temp\1694790988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WeChat Files\wxid_5906509065512\FileStorage\Temp\16947909886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0425" cy="4353421"/>
                    </a:xfrm>
                    <a:prstGeom prst="rect">
                      <a:avLst/>
                    </a:prstGeom>
                    <a:noFill/>
                    <a:ln>
                      <a:noFill/>
                    </a:ln>
                  </pic:spPr>
                </pic:pic>
              </a:graphicData>
            </a:graphic>
          </wp:inline>
        </w:drawing>
      </w:r>
    </w:p>
    <w:p>
      <w:pPr>
        <w:pStyle w:val="330"/>
        <w:tabs>
          <w:tab w:val="left" w:pos="567"/>
        </w:tabs>
        <w:spacing w:before="156" w:beforeLines="50" w:after="156" w:afterLines="50"/>
        <w:ind w:firstLine="0" w:firstLineChars="0"/>
        <w:jc w:val="center"/>
        <w:rPr>
          <w:rFonts w:hint="eastAsia" w:ascii="黑体" w:hAnsi="黑体" w:eastAsia="黑体"/>
          <w:kern w:val="2"/>
          <w:sz w:val="21"/>
          <w:szCs w:val="21"/>
        </w:rPr>
      </w:pPr>
      <w:r>
        <w:rPr>
          <w:rFonts w:hint="eastAsia" w:ascii="黑体" w:hAnsi="黑体" w:eastAsia="黑体"/>
          <w:kern w:val="2"/>
          <w:sz w:val="21"/>
          <w:szCs w:val="21"/>
        </w:rPr>
        <w:t>图A.1 地上方案示意图</w:t>
      </w:r>
      <w:bookmarkEnd w:id="113"/>
      <w:bookmarkEnd w:id="114"/>
      <w:bookmarkEnd w:id="116"/>
      <w:bookmarkEnd w:id="117"/>
      <w:bookmarkStart w:id="118" w:name="_Toc11100"/>
      <w:bookmarkStart w:id="119" w:name="_Toc5427"/>
    </w:p>
    <w:p>
      <w:pPr>
        <w:pStyle w:val="330"/>
        <w:tabs>
          <w:tab w:val="left" w:pos="567"/>
        </w:tabs>
        <w:spacing w:before="156" w:beforeLines="50" w:after="156" w:afterLines="50"/>
        <w:ind w:firstLine="315" w:firstLineChars="150"/>
        <w:jc w:val="left"/>
        <w:rPr>
          <w:rFonts w:hint="eastAsia" w:ascii="黑体" w:hAnsi="黑体" w:eastAsia="黑体"/>
          <w:kern w:val="2"/>
          <w:sz w:val="21"/>
          <w:szCs w:val="21"/>
        </w:rPr>
      </w:pPr>
      <w:r>
        <w:rPr>
          <w:rFonts w:hint="eastAsia" w:ascii="宋体" w:hAnsi="宋体"/>
          <w:kern w:val="2"/>
          <w:sz w:val="21"/>
          <w:szCs w:val="21"/>
        </w:rPr>
        <w:t>图A.</w:t>
      </w:r>
      <w:r>
        <w:rPr>
          <w:rFonts w:hint="eastAsia" w:ascii="宋体" w:hAnsi="宋体"/>
          <w:szCs w:val="21"/>
        </w:rPr>
        <w:t>2</w:t>
      </w:r>
      <w:r>
        <w:rPr>
          <w:rFonts w:hint="eastAsia" w:ascii="宋体" w:hAnsi="宋体"/>
          <w:kern w:val="2"/>
          <w:sz w:val="21"/>
          <w:szCs w:val="21"/>
        </w:rPr>
        <w:t>给出了电缆排管示意图</w:t>
      </w:r>
      <w:r>
        <w:rPr>
          <w:rFonts w:hint="eastAsia" w:ascii="宋体" w:hAnsi="宋体"/>
          <w:szCs w:val="21"/>
        </w:rPr>
        <w:t>。</w:t>
      </w:r>
    </w:p>
    <w:p>
      <w:pPr>
        <w:pStyle w:val="330"/>
        <w:tabs>
          <w:tab w:val="left" w:pos="567"/>
        </w:tabs>
        <w:spacing w:before="156" w:beforeLines="50" w:after="156" w:afterLines="50"/>
        <w:ind w:firstLine="0" w:firstLineChars="0"/>
        <w:jc w:val="center"/>
        <w:rPr>
          <w:rFonts w:hint="eastAsia" w:ascii="黑体" w:hAnsi="黑体" w:eastAsia="黑体"/>
        </w:rPr>
      </w:pPr>
      <w:r>
        <w:rPr>
          <w:rFonts w:ascii="黑体" w:hAnsi="黑体" w:eastAsia="黑体"/>
        </w:rPr>
        <w:drawing>
          <wp:inline distT="0" distB="0" distL="0" distR="0">
            <wp:extent cx="5086350" cy="1028700"/>
            <wp:effectExtent l="0" t="0" r="0" b="0"/>
            <wp:docPr id="14" name="图片 14" descr="C:\Users\Administrator\Documents\WeChat Files\wxid_5906509065512\FileStorage\Temp\169479109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5906509065512\FileStorage\Temp\16947910916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6350" cy="1028700"/>
                    </a:xfrm>
                    <a:prstGeom prst="rect">
                      <a:avLst/>
                    </a:prstGeom>
                    <a:noFill/>
                    <a:ln>
                      <a:noFill/>
                    </a:ln>
                  </pic:spPr>
                </pic:pic>
              </a:graphicData>
            </a:graphic>
          </wp:inline>
        </w:drawing>
      </w:r>
    </w:p>
    <w:p>
      <w:pPr>
        <w:pStyle w:val="330"/>
        <w:tabs>
          <w:tab w:val="left" w:pos="567"/>
        </w:tabs>
        <w:spacing w:before="156" w:beforeLines="50" w:after="156" w:afterLines="50"/>
        <w:ind w:firstLine="0" w:firstLineChars="0"/>
        <w:jc w:val="center"/>
        <w:rPr>
          <w:rFonts w:hint="eastAsia" w:ascii="黑体" w:hAnsi="黑体" w:eastAsia="黑体"/>
          <w:kern w:val="2"/>
          <w:sz w:val="21"/>
          <w:szCs w:val="21"/>
        </w:rPr>
      </w:pPr>
      <w:r>
        <w:rPr>
          <w:rFonts w:hint="eastAsia" w:ascii="黑体" w:hAnsi="黑体" w:eastAsia="黑体"/>
          <w:kern w:val="2"/>
          <w:sz w:val="21"/>
          <w:szCs w:val="21"/>
        </w:rPr>
        <w:t>图A.2 电缆排管示意图</w:t>
      </w:r>
    </w:p>
    <w:p>
      <w:pPr>
        <w:widowControl/>
        <w:ind w:firstLine="315" w:firstLineChars="150"/>
        <w:rPr>
          <w:rFonts w:hint="eastAsia" w:ascii="宋体" w:hAnsi="宋体"/>
          <w:szCs w:val="21"/>
        </w:rPr>
      </w:pPr>
    </w:p>
    <w:p>
      <w:pPr>
        <w:widowControl/>
        <w:ind w:firstLine="315" w:firstLineChars="150"/>
        <w:rPr>
          <w:rFonts w:hint="eastAsia" w:ascii="宋体" w:hAnsi="宋体"/>
          <w:szCs w:val="21"/>
        </w:rPr>
      </w:pPr>
    </w:p>
    <w:p>
      <w:pPr>
        <w:widowControl/>
        <w:ind w:firstLine="315" w:firstLineChars="150"/>
        <w:rPr>
          <w:rFonts w:ascii="黑体" w:hAnsi="黑体" w:eastAsia="黑体"/>
          <w:kern w:val="0"/>
          <w:sz w:val="20"/>
          <w:szCs w:val="20"/>
        </w:rPr>
      </w:pPr>
      <w:r>
        <w:rPr>
          <w:rFonts w:hint="eastAsia" w:ascii="宋体" w:hAnsi="宋体"/>
          <w:szCs w:val="21"/>
        </w:rPr>
        <w:t>图A.3给出了电缆沟示意图。</w:t>
      </w:r>
    </w:p>
    <w:p>
      <w:pPr>
        <w:pStyle w:val="330"/>
        <w:tabs>
          <w:tab w:val="left" w:pos="567"/>
        </w:tabs>
        <w:spacing w:before="156" w:beforeLines="50" w:after="156" w:afterLines="50"/>
        <w:ind w:firstLine="0" w:firstLineChars="0"/>
        <w:jc w:val="center"/>
        <w:rPr>
          <w:rFonts w:hint="eastAsia" w:ascii="黑体" w:hAnsi="黑体" w:eastAsia="黑体"/>
        </w:rPr>
      </w:pPr>
      <w:r>
        <w:rPr>
          <w:rFonts w:ascii="黑体" w:hAnsi="黑体" w:eastAsia="黑体"/>
        </w:rPr>
        <w:drawing>
          <wp:inline distT="0" distB="0" distL="0" distR="0">
            <wp:extent cx="5940425" cy="1252855"/>
            <wp:effectExtent l="0" t="0" r="3175" b="4445"/>
            <wp:docPr id="15" name="图片 15" descr="C:\Users\Administrator\Documents\WeChat Files\wxid_5906509065512\FileStorage\Temp\169479140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wxid_5906509065512\FileStorage\Temp\16947914042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0425" cy="1253186"/>
                    </a:xfrm>
                    <a:prstGeom prst="rect">
                      <a:avLst/>
                    </a:prstGeom>
                    <a:noFill/>
                    <a:ln>
                      <a:noFill/>
                    </a:ln>
                  </pic:spPr>
                </pic:pic>
              </a:graphicData>
            </a:graphic>
          </wp:inline>
        </w:drawing>
      </w:r>
    </w:p>
    <w:p>
      <w:pPr>
        <w:pStyle w:val="330"/>
        <w:tabs>
          <w:tab w:val="left" w:pos="567"/>
        </w:tabs>
        <w:spacing w:before="156" w:beforeLines="50" w:after="156" w:afterLines="50"/>
        <w:ind w:firstLine="0" w:firstLineChars="0"/>
        <w:jc w:val="center"/>
        <w:rPr>
          <w:rFonts w:hint="eastAsia" w:ascii="黑体" w:hAnsi="黑体" w:eastAsia="黑体"/>
          <w:kern w:val="2"/>
          <w:sz w:val="21"/>
          <w:szCs w:val="21"/>
        </w:rPr>
      </w:pPr>
      <w:r>
        <w:rPr>
          <w:rFonts w:hint="eastAsia" w:ascii="黑体" w:hAnsi="黑体" w:eastAsia="黑体"/>
          <w:kern w:val="2"/>
          <w:sz w:val="21"/>
          <w:szCs w:val="21"/>
        </w:rPr>
        <w:t>图A.3 电缆沟示意图</w:t>
      </w:r>
    </w:p>
    <w:p>
      <w:pPr>
        <w:pStyle w:val="330"/>
        <w:tabs>
          <w:tab w:val="left" w:pos="567"/>
        </w:tabs>
        <w:spacing w:before="156" w:beforeLines="50" w:after="156" w:afterLines="50"/>
        <w:ind w:firstLine="315" w:firstLineChars="150"/>
        <w:jc w:val="left"/>
        <w:rPr>
          <w:rFonts w:hint="eastAsia" w:ascii="宋体" w:hAnsi="宋体"/>
          <w:kern w:val="2"/>
          <w:sz w:val="21"/>
          <w:szCs w:val="21"/>
        </w:rPr>
      </w:pPr>
      <w:r>
        <w:rPr>
          <w:rFonts w:hint="eastAsia" w:ascii="宋体" w:hAnsi="宋体"/>
          <w:kern w:val="2"/>
          <w:sz w:val="21"/>
          <w:szCs w:val="21"/>
        </w:rPr>
        <w:t>图A.</w:t>
      </w:r>
      <w:r>
        <w:rPr>
          <w:rFonts w:hint="eastAsia" w:ascii="宋体" w:hAnsi="宋体"/>
          <w:szCs w:val="21"/>
        </w:rPr>
        <w:t>4</w:t>
      </w:r>
      <w:r>
        <w:rPr>
          <w:rFonts w:hint="eastAsia" w:ascii="宋体" w:hAnsi="宋体"/>
          <w:kern w:val="2"/>
          <w:sz w:val="21"/>
          <w:szCs w:val="21"/>
        </w:rPr>
        <w:t>给出了电缆直埋穿管示意图。</w:t>
      </w:r>
      <w:r>
        <w:rPr>
          <w:rFonts w:ascii="黑体" w:hAnsi="黑体" w:eastAsia="黑体"/>
        </w:rPr>
        <w:drawing>
          <wp:inline distT="0" distB="0" distL="0" distR="0">
            <wp:extent cx="5940425" cy="1393825"/>
            <wp:effectExtent l="0" t="0" r="3175" b="0"/>
            <wp:docPr id="16" name="图片 16" descr="C:\Users\Administrator\Documents\WeChat Files\wxid_5906509065512\FileStorage\Temp\1694791520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WeChat Files\wxid_5906509065512\FileStorage\Temp\16947915206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0425" cy="1393843"/>
                    </a:xfrm>
                    <a:prstGeom prst="rect">
                      <a:avLst/>
                    </a:prstGeom>
                    <a:noFill/>
                    <a:ln>
                      <a:noFill/>
                    </a:ln>
                  </pic:spPr>
                </pic:pic>
              </a:graphicData>
            </a:graphic>
          </wp:inline>
        </w:drawing>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图A.4 电缆直埋穿管示意图</w:t>
      </w:r>
    </w:p>
    <w:p>
      <w:pPr>
        <w:pStyle w:val="330"/>
        <w:tabs>
          <w:tab w:val="left" w:pos="567"/>
        </w:tabs>
        <w:spacing w:before="156" w:beforeLines="50" w:after="156" w:afterLines="50"/>
        <w:ind w:firstLine="315" w:firstLineChars="150"/>
        <w:rPr>
          <w:rFonts w:hint="eastAsia" w:ascii="黑体" w:hAnsi="黑体" w:eastAsia="黑体"/>
          <w:kern w:val="2"/>
          <w:sz w:val="21"/>
          <w:szCs w:val="21"/>
        </w:rPr>
      </w:pPr>
      <w:r>
        <w:rPr>
          <w:rFonts w:hint="eastAsia" w:ascii="宋体" w:hAnsi="宋体"/>
          <w:kern w:val="2"/>
          <w:sz w:val="21"/>
          <w:szCs w:val="21"/>
        </w:rPr>
        <w:t>图A.</w:t>
      </w:r>
      <w:r>
        <w:rPr>
          <w:rFonts w:hint="eastAsia" w:ascii="宋体" w:hAnsi="宋体"/>
          <w:szCs w:val="21"/>
        </w:rPr>
        <w:t>5</w:t>
      </w:r>
      <w:r>
        <w:rPr>
          <w:rFonts w:hint="eastAsia" w:ascii="宋体" w:hAnsi="宋体"/>
          <w:kern w:val="2"/>
          <w:sz w:val="21"/>
          <w:szCs w:val="21"/>
        </w:rPr>
        <w:t>给出了电缆排管断面图</w:t>
      </w:r>
      <w:r>
        <w:rPr>
          <w:rFonts w:hint="eastAsia" w:ascii="宋体" w:hAnsi="宋体"/>
          <w:szCs w:val="21"/>
        </w:rPr>
        <w:t>。</w:t>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ascii="黑体" w:hAnsi="黑体" w:eastAsia="黑体"/>
          <w:kern w:val="2"/>
          <w:sz w:val="21"/>
          <w:szCs w:val="21"/>
        </w:rPr>
        <w:drawing>
          <wp:inline distT="0" distB="0" distL="0" distR="0">
            <wp:extent cx="5940425" cy="2501265"/>
            <wp:effectExtent l="0" t="0" r="3175" b="0"/>
            <wp:docPr id="17" name="图片 17" descr="C:\Users\Administrator\Documents\WeChat Files\wxid_5906509065512\FileStorage\Temp\169479166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WeChat Files\wxid_5906509065512\FileStorage\Temp\169479166376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0425" cy="2501710"/>
                    </a:xfrm>
                    <a:prstGeom prst="rect">
                      <a:avLst/>
                    </a:prstGeom>
                    <a:noFill/>
                    <a:ln>
                      <a:noFill/>
                    </a:ln>
                  </pic:spPr>
                </pic:pic>
              </a:graphicData>
            </a:graphic>
          </wp:inline>
        </w:drawing>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图A.5 电缆直埋穿管示意图</w:t>
      </w:r>
    </w:p>
    <w:p>
      <w:pPr>
        <w:pStyle w:val="330"/>
        <w:tabs>
          <w:tab w:val="left" w:pos="567"/>
        </w:tabs>
        <w:spacing w:before="156" w:beforeLines="50" w:after="156" w:afterLines="50"/>
        <w:ind w:firstLine="315" w:firstLineChars="150"/>
        <w:rPr>
          <w:rFonts w:hint="eastAsia" w:ascii="宋体" w:hAnsi="宋体"/>
          <w:kern w:val="2"/>
          <w:sz w:val="21"/>
          <w:szCs w:val="21"/>
        </w:rPr>
      </w:pPr>
    </w:p>
    <w:p>
      <w:pPr>
        <w:pStyle w:val="330"/>
        <w:tabs>
          <w:tab w:val="left" w:pos="567"/>
        </w:tabs>
        <w:spacing w:before="156" w:beforeLines="50" w:after="156" w:afterLines="50"/>
        <w:ind w:firstLine="315" w:firstLineChars="150"/>
        <w:rPr>
          <w:rFonts w:hint="eastAsia" w:ascii="宋体" w:hAnsi="宋体"/>
          <w:kern w:val="2"/>
          <w:sz w:val="21"/>
          <w:szCs w:val="21"/>
        </w:rPr>
      </w:pPr>
    </w:p>
    <w:p>
      <w:pPr>
        <w:pStyle w:val="330"/>
        <w:tabs>
          <w:tab w:val="left" w:pos="567"/>
        </w:tabs>
        <w:spacing w:before="156" w:beforeLines="50" w:after="156" w:afterLines="50"/>
        <w:ind w:firstLine="315" w:firstLineChars="150"/>
        <w:rPr>
          <w:rFonts w:hint="eastAsia" w:ascii="宋体" w:hAnsi="宋体"/>
          <w:kern w:val="2"/>
          <w:sz w:val="21"/>
          <w:szCs w:val="21"/>
        </w:rPr>
      </w:pPr>
    </w:p>
    <w:p>
      <w:pPr>
        <w:pStyle w:val="330"/>
        <w:tabs>
          <w:tab w:val="left" w:pos="567"/>
        </w:tabs>
        <w:spacing w:before="156" w:beforeLines="50" w:after="156" w:afterLines="50"/>
        <w:ind w:firstLine="315" w:firstLineChars="15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黑体" w:hAnsi="黑体" w:eastAsia="黑体"/>
          <w:kern w:val="2"/>
          <w:sz w:val="21"/>
          <w:szCs w:val="21"/>
        </w:rPr>
      </w:pPr>
      <w:r>
        <w:rPr>
          <w:rFonts w:hint="eastAsia" w:ascii="宋体" w:hAnsi="宋体"/>
          <w:kern w:val="2"/>
          <w:sz w:val="21"/>
          <w:szCs w:val="21"/>
        </w:rPr>
        <w:t>图A.</w:t>
      </w:r>
      <w:r>
        <w:rPr>
          <w:rFonts w:hint="eastAsia" w:ascii="宋体" w:hAnsi="宋体"/>
          <w:szCs w:val="21"/>
        </w:rPr>
        <w:t>6</w:t>
      </w:r>
      <w:r>
        <w:rPr>
          <w:rFonts w:hint="eastAsia" w:ascii="宋体" w:hAnsi="宋体"/>
          <w:kern w:val="2"/>
          <w:sz w:val="21"/>
          <w:szCs w:val="21"/>
        </w:rPr>
        <w:t>给出了电缆沟断面图</w:t>
      </w:r>
      <w:r>
        <w:rPr>
          <w:rFonts w:hint="eastAsia" w:ascii="宋体" w:hAnsi="宋体"/>
          <w:szCs w:val="21"/>
        </w:rPr>
        <w:t>。</w:t>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ascii="黑体" w:hAnsi="黑体" w:eastAsia="黑体"/>
          <w:kern w:val="2"/>
          <w:sz w:val="21"/>
          <w:szCs w:val="21"/>
        </w:rPr>
        <w:drawing>
          <wp:inline distT="0" distB="0" distL="0" distR="0">
            <wp:extent cx="2886075" cy="2571750"/>
            <wp:effectExtent l="0" t="0" r="9525" b="0"/>
            <wp:docPr id="18" name="图片 18" descr="C:\Users\Administrator\Documents\WeChat Files\wxid_5906509065512\FileStorage\Temp\169479179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wxid_5906509065512\FileStorage\Temp\16947917974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86075" cy="2571750"/>
                    </a:xfrm>
                    <a:prstGeom prst="rect">
                      <a:avLst/>
                    </a:prstGeom>
                    <a:noFill/>
                    <a:ln>
                      <a:noFill/>
                    </a:ln>
                  </pic:spPr>
                </pic:pic>
              </a:graphicData>
            </a:graphic>
          </wp:inline>
        </w:drawing>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图A.6 电缆沟断面图</w:t>
      </w:r>
    </w:p>
    <w:p>
      <w:pPr>
        <w:pStyle w:val="330"/>
        <w:tabs>
          <w:tab w:val="left" w:pos="567"/>
        </w:tabs>
        <w:spacing w:before="156" w:beforeLines="50" w:after="156" w:afterLines="50"/>
        <w:ind w:firstLine="630" w:firstLineChars="300"/>
        <w:rPr>
          <w:rFonts w:hint="eastAsia" w:ascii="黑体" w:hAnsi="黑体" w:eastAsia="黑体"/>
          <w:kern w:val="2"/>
          <w:sz w:val="21"/>
          <w:szCs w:val="21"/>
        </w:rPr>
      </w:pPr>
      <w:r>
        <w:rPr>
          <w:rFonts w:hint="eastAsia" w:ascii="宋体" w:hAnsi="宋体"/>
          <w:kern w:val="2"/>
          <w:sz w:val="21"/>
          <w:szCs w:val="21"/>
        </w:rPr>
        <w:t>图A.</w:t>
      </w:r>
      <w:r>
        <w:rPr>
          <w:rFonts w:hint="eastAsia" w:ascii="宋体" w:hAnsi="宋体"/>
          <w:szCs w:val="21"/>
        </w:rPr>
        <w:t>7</w:t>
      </w:r>
      <w:r>
        <w:rPr>
          <w:rFonts w:hint="eastAsia" w:ascii="宋体" w:hAnsi="宋体"/>
          <w:kern w:val="2"/>
          <w:sz w:val="21"/>
          <w:szCs w:val="21"/>
        </w:rPr>
        <w:t>给出了电缆直埋穿管断面图</w:t>
      </w:r>
      <w:r>
        <w:rPr>
          <w:rFonts w:hint="eastAsia" w:ascii="宋体" w:hAnsi="宋体"/>
          <w:szCs w:val="21"/>
        </w:rPr>
        <w:t>。</w:t>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ascii="黑体" w:hAnsi="黑体" w:eastAsia="黑体"/>
          <w:kern w:val="2"/>
          <w:sz w:val="21"/>
          <w:szCs w:val="21"/>
        </w:rPr>
        <w:drawing>
          <wp:inline distT="0" distB="0" distL="0" distR="0">
            <wp:extent cx="5940425" cy="2737485"/>
            <wp:effectExtent l="0" t="0" r="3175" b="5715"/>
            <wp:docPr id="19" name="图片 19" descr="C:\Users\Administrator\Documents\WeChat Files\wxid_5906509065512\FileStorage\Temp\169479197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ocuments\WeChat Files\wxid_5906509065512\FileStorage\Temp\169479197015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0425" cy="2737905"/>
                    </a:xfrm>
                    <a:prstGeom prst="rect">
                      <a:avLst/>
                    </a:prstGeom>
                    <a:noFill/>
                    <a:ln>
                      <a:noFill/>
                    </a:ln>
                  </pic:spPr>
                </pic:pic>
              </a:graphicData>
            </a:graphic>
          </wp:inline>
        </w:drawing>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图A.7 电缆直埋穿管断面图</w:t>
      </w:r>
    </w:p>
    <w:p>
      <w:pPr>
        <w:pStyle w:val="330"/>
        <w:tabs>
          <w:tab w:val="left" w:pos="567"/>
        </w:tabs>
        <w:spacing w:before="156" w:beforeLines="50" w:after="156" w:afterLines="50"/>
        <w:ind w:firstLine="630" w:firstLineChars="30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宋体" w:hAnsi="宋体"/>
          <w:kern w:val="2"/>
          <w:sz w:val="21"/>
          <w:szCs w:val="21"/>
        </w:rPr>
      </w:pPr>
    </w:p>
    <w:p>
      <w:pPr>
        <w:pStyle w:val="330"/>
        <w:tabs>
          <w:tab w:val="left" w:pos="567"/>
        </w:tabs>
        <w:spacing w:before="156" w:beforeLines="50" w:after="156" w:afterLines="50"/>
        <w:ind w:firstLine="630" w:firstLineChars="300"/>
        <w:rPr>
          <w:rFonts w:hint="eastAsia" w:ascii="黑体" w:hAnsi="黑体" w:eastAsia="黑体"/>
          <w:kern w:val="2"/>
          <w:sz w:val="21"/>
          <w:szCs w:val="21"/>
        </w:rPr>
      </w:pPr>
      <w:r>
        <w:rPr>
          <w:rFonts w:hint="eastAsia" w:ascii="宋体" w:hAnsi="宋体"/>
          <w:kern w:val="2"/>
          <w:sz w:val="21"/>
          <w:szCs w:val="21"/>
        </w:rPr>
        <w:t>图A.</w:t>
      </w:r>
      <w:r>
        <w:rPr>
          <w:rFonts w:hint="eastAsia" w:ascii="宋体" w:hAnsi="宋体"/>
          <w:szCs w:val="21"/>
        </w:rPr>
        <w:t>8</w:t>
      </w:r>
      <w:r>
        <w:rPr>
          <w:rFonts w:hint="eastAsia" w:ascii="宋体" w:hAnsi="宋体"/>
          <w:kern w:val="2"/>
          <w:sz w:val="21"/>
          <w:szCs w:val="21"/>
        </w:rPr>
        <w:t>给出了直接接入示意图</w:t>
      </w:r>
      <w:r>
        <w:rPr>
          <w:rFonts w:hint="eastAsia" w:ascii="宋体" w:hAnsi="宋体"/>
          <w:szCs w:val="21"/>
        </w:rPr>
        <w:t>。</w:t>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ascii="黑体" w:hAnsi="黑体" w:eastAsia="黑体"/>
          <w:kern w:val="2"/>
          <w:sz w:val="21"/>
          <w:szCs w:val="21"/>
        </w:rPr>
        <w:drawing>
          <wp:inline distT="0" distB="0" distL="0" distR="0">
            <wp:extent cx="3228975" cy="2116455"/>
            <wp:effectExtent l="0" t="0" r="0" b="0"/>
            <wp:docPr id="20" name="图片 20" descr="C:\Users\Administrator\Documents\WeChat Files\wxid_5906509065512\FileStorage\Temp\1694792046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ocuments\WeChat Files\wxid_5906509065512\FileStorage\Temp\169479204617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28975" cy="2117069"/>
                    </a:xfrm>
                    <a:prstGeom prst="rect">
                      <a:avLst/>
                    </a:prstGeom>
                    <a:noFill/>
                    <a:ln>
                      <a:noFill/>
                    </a:ln>
                  </pic:spPr>
                </pic:pic>
              </a:graphicData>
            </a:graphic>
          </wp:inline>
        </w:drawing>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图A.8 直接接入示意图</w:t>
      </w:r>
    </w:p>
    <w:p>
      <w:pPr>
        <w:pStyle w:val="330"/>
        <w:tabs>
          <w:tab w:val="left" w:pos="567"/>
        </w:tabs>
        <w:spacing w:before="156" w:beforeLines="50" w:after="156" w:afterLines="50"/>
        <w:ind w:firstLine="630" w:firstLineChars="300"/>
        <w:rPr>
          <w:rFonts w:hint="eastAsia" w:ascii="黑体" w:hAnsi="黑体" w:eastAsia="黑体"/>
          <w:kern w:val="2"/>
          <w:sz w:val="21"/>
          <w:szCs w:val="21"/>
        </w:rPr>
      </w:pPr>
      <w:r>
        <w:rPr>
          <w:rFonts w:hint="eastAsia" w:ascii="宋体" w:hAnsi="宋体"/>
          <w:kern w:val="2"/>
          <w:sz w:val="21"/>
          <w:szCs w:val="21"/>
        </w:rPr>
        <w:t>图A.</w:t>
      </w:r>
      <w:r>
        <w:rPr>
          <w:rFonts w:hint="eastAsia" w:ascii="宋体" w:hAnsi="宋体"/>
          <w:szCs w:val="21"/>
        </w:rPr>
        <w:t>9</w:t>
      </w:r>
      <w:r>
        <w:rPr>
          <w:rFonts w:hint="eastAsia" w:ascii="宋体" w:hAnsi="宋体"/>
          <w:kern w:val="2"/>
          <w:sz w:val="21"/>
          <w:szCs w:val="21"/>
        </w:rPr>
        <w:t>给出了电缆分支箱及电能计量箱落地式安装示意图</w:t>
      </w:r>
      <w:r>
        <w:rPr>
          <w:rFonts w:hint="eastAsia" w:ascii="宋体" w:hAnsi="宋体"/>
          <w:szCs w:val="21"/>
        </w:rPr>
        <w:t>。</w:t>
      </w:r>
    </w:p>
    <w:p>
      <w:pPr>
        <w:pStyle w:val="330"/>
        <w:tabs>
          <w:tab w:val="left" w:pos="567"/>
        </w:tabs>
        <w:spacing w:before="156" w:beforeLines="50" w:after="156" w:afterLines="50"/>
        <w:ind w:firstLine="315" w:firstLineChars="150"/>
        <w:jc w:val="left"/>
        <w:rPr>
          <w:rFonts w:hint="eastAsia" w:ascii="黑体" w:hAnsi="黑体" w:eastAsia="黑体"/>
          <w:kern w:val="2"/>
          <w:sz w:val="21"/>
          <w:szCs w:val="21"/>
        </w:rPr>
      </w:pPr>
      <w:r>
        <w:rPr>
          <w:rFonts w:ascii="黑体" w:hAnsi="黑体" w:eastAsia="黑体"/>
          <w:kern w:val="2"/>
          <w:sz w:val="21"/>
          <w:szCs w:val="21"/>
        </w:rPr>
        <w:drawing>
          <wp:inline distT="0" distB="0" distL="0" distR="0">
            <wp:extent cx="5940425" cy="2484120"/>
            <wp:effectExtent l="0" t="0" r="3175" b="0"/>
            <wp:docPr id="21" name="图片 21" descr="C:\Users\ADMINI~1\AppData\Local\Temp\WeChat Files\dc499e24036cca65113ea06dfd51d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dc499e24036cca65113ea06dfd51db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0425" cy="2484331"/>
                    </a:xfrm>
                    <a:prstGeom prst="rect">
                      <a:avLst/>
                    </a:prstGeom>
                    <a:noFill/>
                    <a:ln>
                      <a:noFill/>
                    </a:ln>
                  </pic:spPr>
                </pic:pic>
              </a:graphicData>
            </a:graphic>
          </wp:inline>
        </w:drawing>
      </w:r>
    </w:p>
    <w:p>
      <w:pPr>
        <w:pStyle w:val="330"/>
        <w:tabs>
          <w:tab w:val="left" w:pos="567"/>
        </w:tabs>
        <w:spacing w:before="156" w:beforeLines="50"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图A.9 电缆分支箱及电能计量箱落地式安装示意图</w:t>
      </w: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315" w:firstLineChars="150"/>
        <w:jc w:val="left"/>
        <w:rPr>
          <w:rFonts w:hint="eastAsia" w:ascii="宋体" w:hAnsi="宋体"/>
          <w:kern w:val="2"/>
          <w:sz w:val="21"/>
          <w:szCs w:val="21"/>
        </w:rPr>
      </w:pPr>
    </w:p>
    <w:p>
      <w:pPr>
        <w:pStyle w:val="330"/>
        <w:tabs>
          <w:tab w:val="left" w:pos="567"/>
        </w:tabs>
        <w:spacing w:before="156" w:beforeLines="50" w:after="156" w:afterLines="50"/>
        <w:ind w:firstLine="735" w:firstLineChars="350"/>
        <w:jc w:val="left"/>
        <w:rPr>
          <w:rFonts w:hint="eastAsia" w:ascii="宋体" w:hAnsi="宋体"/>
          <w:szCs w:val="21"/>
        </w:rPr>
      </w:pPr>
      <w:r>
        <w:rPr>
          <w:rFonts w:hint="eastAsia" w:ascii="宋体" w:hAnsi="宋体"/>
          <w:kern w:val="2"/>
          <w:sz w:val="21"/>
          <w:szCs w:val="21"/>
        </w:rPr>
        <w:t>图A.</w:t>
      </w:r>
      <w:r>
        <w:rPr>
          <w:rFonts w:hint="eastAsia" w:ascii="宋体" w:hAnsi="宋体"/>
          <w:szCs w:val="21"/>
        </w:rPr>
        <w:t>10</w:t>
      </w:r>
      <w:r>
        <w:rPr>
          <w:rFonts w:hint="eastAsia" w:ascii="宋体" w:hAnsi="宋体"/>
          <w:kern w:val="2"/>
          <w:sz w:val="21"/>
          <w:szCs w:val="21"/>
        </w:rPr>
        <w:t>给出了电缆分支箱及电能计量箱支架式安装示意图</w:t>
      </w:r>
      <w:r>
        <w:rPr>
          <w:rFonts w:hint="eastAsia" w:ascii="宋体" w:hAnsi="宋体"/>
          <w:szCs w:val="21"/>
        </w:rPr>
        <w:t>。</w:t>
      </w:r>
    </w:p>
    <w:p>
      <w:pPr>
        <w:pStyle w:val="330"/>
        <w:tabs>
          <w:tab w:val="left" w:pos="567"/>
        </w:tabs>
        <w:spacing w:after="156" w:afterLines="50"/>
        <w:ind w:firstLine="300" w:firstLineChars="150"/>
        <w:jc w:val="center"/>
        <w:rPr>
          <w:rFonts w:hint="eastAsia" w:ascii="黑体" w:hAnsi="黑体" w:eastAsia="黑体"/>
        </w:rPr>
      </w:pPr>
      <w:r>
        <w:rPr>
          <w:rFonts w:ascii="黑体" w:hAnsi="黑体" w:eastAsia="黑体"/>
        </w:rPr>
        <w:drawing>
          <wp:inline distT="0" distB="0" distL="0" distR="0">
            <wp:extent cx="2590800" cy="3200400"/>
            <wp:effectExtent l="0" t="0" r="0" b="0"/>
            <wp:docPr id="22" name="图片 22" descr="C:\Users\Administrator\Documents\WeChat Files\wxid_5906509065512\FileStorage\Temp\1694792382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ocuments\WeChat Files\wxid_5906509065512\FileStorage\Temp\16947923826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90800" cy="3200400"/>
                    </a:xfrm>
                    <a:prstGeom prst="rect">
                      <a:avLst/>
                    </a:prstGeom>
                    <a:noFill/>
                    <a:ln>
                      <a:noFill/>
                    </a:ln>
                  </pic:spPr>
                </pic:pic>
              </a:graphicData>
            </a:graphic>
          </wp:inline>
        </w:drawing>
      </w:r>
    </w:p>
    <w:p>
      <w:pPr>
        <w:pStyle w:val="330"/>
        <w:tabs>
          <w:tab w:val="left" w:pos="567"/>
        </w:tabs>
        <w:spacing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图A.10 电缆分支箱及电能计量箱支架式安装示意图</w:t>
      </w:r>
    </w:p>
    <w:p>
      <w:pPr>
        <w:pStyle w:val="330"/>
        <w:tabs>
          <w:tab w:val="left" w:pos="567"/>
        </w:tabs>
        <w:ind w:firstLine="840" w:firstLineChars="400"/>
        <w:rPr>
          <w:rFonts w:hint="eastAsia" w:ascii="宋体" w:hAnsi="宋体"/>
          <w:szCs w:val="21"/>
        </w:rPr>
      </w:pPr>
      <w:r>
        <w:rPr>
          <w:rFonts w:hint="eastAsia" w:ascii="宋体" w:hAnsi="宋体"/>
          <w:kern w:val="2"/>
          <w:sz w:val="21"/>
          <w:szCs w:val="21"/>
        </w:rPr>
        <w:t>图A.</w:t>
      </w:r>
      <w:r>
        <w:rPr>
          <w:rFonts w:hint="eastAsia" w:ascii="宋体" w:hAnsi="宋体"/>
          <w:szCs w:val="21"/>
        </w:rPr>
        <w:t>11</w:t>
      </w:r>
      <w:r>
        <w:rPr>
          <w:rFonts w:hint="eastAsia" w:ascii="宋体" w:hAnsi="宋体"/>
          <w:kern w:val="2"/>
          <w:sz w:val="21"/>
          <w:szCs w:val="21"/>
        </w:rPr>
        <w:t>给出了独立或联排住宅电能计量箱杆装图</w:t>
      </w:r>
      <w:r>
        <w:rPr>
          <w:rFonts w:hint="eastAsia" w:ascii="宋体" w:hAnsi="宋体"/>
          <w:szCs w:val="21"/>
        </w:rPr>
        <w:t>。</w:t>
      </w:r>
    </w:p>
    <w:p>
      <w:pPr>
        <w:pStyle w:val="330"/>
        <w:tabs>
          <w:tab w:val="left" w:pos="567"/>
        </w:tabs>
        <w:spacing w:before="156" w:beforeLines="50" w:after="156" w:afterLines="50"/>
        <w:ind w:firstLine="500" w:firstLineChars="250"/>
        <w:jc w:val="center"/>
        <w:rPr>
          <w:rFonts w:hint="eastAsia" w:ascii="黑体" w:hAnsi="黑体" w:eastAsia="黑体"/>
        </w:rPr>
      </w:pPr>
      <w:r>
        <w:rPr>
          <w:rFonts w:ascii="黑体" w:hAnsi="黑体" w:eastAsia="黑体"/>
        </w:rPr>
        <w:drawing>
          <wp:inline distT="0" distB="0" distL="0" distR="0">
            <wp:extent cx="1828800" cy="2886075"/>
            <wp:effectExtent l="0" t="0" r="0" b="9525"/>
            <wp:docPr id="23" name="图片 23" descr="C:\Users\Administrator\Documents\WeChat Files\wxid_5906509065512\FileStorage\Temp\1694792489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WeChat Files\wxid_5906509065512\FileStorage\Temp\16947924891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28800" cy="2886075"/>
                    </a:xfrm>
                    <a:prstGeom prst="rect">
                      <a:avLst/>
                    </a:prstGeom>
                    <a:noFill/>
                    <a:ln>
                      <a:noFill/>
                    </a:ln>
                  </pic:spPr>
                </pic:pic>
              </a:graphicData>
            </a:graphic>
          </wp:inline>
        </w:drawing>
      </w:r>
    </w:p>
    <w:p>
      <w:pPr>
        <w:pStyle w:val="330"/>
        <w:tabs>
          <w:tab w:val="left" w:pos="567"/>
        </w:tabs>
        <w:spacing w:after="156" w:afterLines="50"/>
        <w:ind w:firstLine="315" w:firstLineChars="150"/>
        <w:jc w:val="center"/>
        <w:rPr>
          <w:rFonts w:hint="eastAsia" w:ascii="黑体" w:hAnsi="黑体" w:eastAsia="黑体"/>
          <w:kern w:val="2"/>
          <w:sz w:val="21"/>
          <w:szCs w:val="21"/>
        </w:rPr>
      </w:pPr>
      <w:r>
        <w:rPr>
          <w:rFonts w:hint="eastAsia" w:ascii="黑体" w:hAnsi="黑体" w:eastAsia="黑体"/>
          <w:kern w:val="2"/>
          <w:sz w:val="21"/>
          <w:szCs w:val="21"/>
        </w:rPr>
        <w:t>图A.11 独立或联排住宅电能计量箱杆装图</w:t>
      </w:r>
    </w:p>
    <w:p>
      <w:pPr>
        <w:pStyle w:val="330"/>
        <w:tabs>
          <w:tab w:val="left" w:pos="567"/>
        </w:tabs>
        <w:spacing w:before="156" w:beforeLines="50" w:after="156" w:afterLines="50"/>
        <w:ind w:firstLine="500" w:firstLineChars="250"/>
        <w:jc w:val="center"/>
        <w:rPr>
          <w:rFonts w:hint="eastAsia" w:ascii="黑体" w:hAnsi="黑体" w:eastAsia="黑体"/>
        </w:rPr>
      </w:pPr>
    </w:p>
    <w:p>
      <w:pPr>
        <w:pStyle w:val="73"/>
        <w:spacing w:before="560" w:after="280"/>
        <w:ind w:firstLine="0" w:firstLineChars="0"/>
        <w:jc w:val="center"/>
        <w:outlineLvl w:val="0"/>
        <w:rPr>
          <w:rFonts w:ascii="黑体" w:hAnsi="黑体" w:eastAsia="黑体"/>
        </w:rPr>
      </w:pPr>
      <w:bookmarkStart w:id="120" w:name="_Toc6957"/>
      <w:r>
        <w:rPr>
          <w:rFonts w:hint="eastAsia" w:ascii="黑体" w:hAnsi="黑体" w:eastAsia="黑体"/>
        </w:rPr>
        <w:t>附 录 B</w:t>
      </w:r>
      <w:r>
        <w:rPr>
          <w:rFonts w:ascii="黑体" w:hAnsi="黑体" w:eastAsia="黑体"/>
        </w:rPr>
        <w:br w:type="textWrapping"/>
      </w:r>
      <w:r>
        <w:rPr>
          <w:rFonts w:hint="eastAsia" w:ascii="黑体" w:hAnsi="黑体" w:eastAsia="黑体"/>
        </w:rPr>
        <w:t>（资料性）</w:t>
      </w:r>
      <w:r>
        <w:rPr>
          <w:rFonts w:ascii="黑体" w:hAnsi="黑体" w:eastAsia="黑体"/>
        </w:rPr>
        <w:br w:type="textWrapping"/>
      </w:r>
      <w:bookmarkEnd w:id="118"/>
      <w:r>
        <w:rPr>
          <w:rFonts w:hint="eastAsia" w:ascii="黑体" w:hAnsi="黑体" w:eastAsia="黑体"/>
        </w:rPr>
        <w:t>地下方案设计图</w:t>
      </w:r>
      <w:bookmarkEnd w:id="120"/>
    </w:p>
    <w:bookmarkEnd w:id="119"/>
    <w:p>
      <w:pPr>
        <w:pStyle w:val="73"/>
        <w:spacing w:before="156" w:beforeLines="50" w:after="156" w:afterLines="50"/>
        <w:ind w:firstLine="0" w:firstLineChars="0"/>
        <w:rPr>
          <w:rFonts w:ascii="黑体" w:hAnsi="黑体" w:eastAsia="黑体"/>
        </w:rPr>
      </w:pPr>
      <w:r>
        <w:rPr>
          <w:rFonts w:hint="eastAsia" w:ascii="黑体" w:hAnsi="黑体" w:eastAsia="黑体"/>
        </w:rPr>
        <w:t>B.1 地下方案设计图</w:t>
      </w:r>
    </w:p>
    <w:p>
      <w:pPr>
        <w:autoSpaceDE w:val="0"/>
        <w:autoSpaceDN w:val="0"/>
        <w:adjustRightInd w:val="0"/>
        <w:ind w:firstLine="435"/>
        <w:jc w:val="left"/>
        <w:rPr>
          <w:rFonts w:hint="eastAsia" w:hAnsi="宋体"/>
          <w:szCs w:val="21"/>
        </w:rPr>
      </w:pPr>
      <w:r>
        <w:rPr>
          <w:rFonts w:hint="eastAsia" w:asciiTheme="minorEastAsia" w:hAnsiTheme="minorEastAsia" w:eastAsiaTheme="minorEastAsia"/>
          <w:szCs w:val="21"/>
        </w:rPr>
        <w:t>图B.1给出了地下方案示意图</w:t>
      </w:r>
      <w:r>
        <w:rPr>
          <w:rFonts w:asciiTheme="minorEastAsia" w:hAnsiTheme="minorEastAsia" w:eastAsiaTheme="minorEastAsia"/>
          <w:szCs w:val="21"/>
        </w:rPr>
        <w:t>(</w:t>
      </w:r>
      <w:r>
        <w:rPr>
          <w:rFonts w:hint="eastAsia" w:asciiTheme="minorEastAsia" w:hAnsiTheme="minorEastAsia" w:eastAsiaTheme="minorEastAsia"/>
          <w:szCs w:val="21"/>
        </w:rPr>
        <w:t>一</w:t>
      </w:r>
      <w:r>
        <w:rPr>
          <w:rFonts w:asciiTheme="minorEastAsia" w:hAnsiTheme="minorEastAsia" w:eastAsiaTheme="minorEastAsia"/>
          <w:szCs w:val="21"/>
        </w:rPr>
        <w:t>)</w:t>
      </w:r>
      <w:r>
        <w:rPr>
          <w:rFonts w:hint="eastAsia" w:hAnsi="宋体"/>
          <w:szCs w:val="21"/>
        </w:rPr>
        <w:t>。</w:t>
      </w:r>
    </w:p>
    <w:p>
      <w:pPr>
        <w:autoSpaceDE w:val="0"/>
        <w:autoSpaceDN w:val="0"/>
        <w:adjustRightInd w:val="0"/>
        <w:ind w:firstLine="435"/>
        <w:jc w:val="center"/>
        <w:rPr>
          <w:rFonts w:ascii="宋体" w:cs="宋体"/>
          <w:color w:val="000000"/>
          <w:kern w:val="0"/>
          <w:sz w:val="20"/>
          <w:szCs w:val="20"/>
        </w:rPr>
      </w:pPr>
      <w:r>
        <w:rPr>
          <w:rFonts w:ascii="宋体" w:cs="宋体"/>
          <w:color w:val="000000"/>
          <w:kern w:val="0"/>
          <w:sz w:val="20"/>
          <w:szCs w:val="20"/>
        </w:rPr>
        <w:drawing>
          <wp:inline distT="0" distB="0" distL="0" distR="0">
            <wp:extent cx="4524375" cy="5476875"/>
            <wp:effectExtent l="0" t="0" r="9525" b="9525"/>
            <wp:docPr id="26" name="图片 26" descr="C:\Users\Administrator\Documents\WeChat Files\wxid_5906509065512\FileStorage\Temp\1694793076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ocuments\WeChat Files\wxid_5906509065512\FileStorage\Temp\169479307635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24375" cy="5476875"/>
                    </a:xfrm>
                    <a:prstGeom prst="rect">
                      <a:avLst/>
                    </a:prstGeom>
                    <a:noFill/>
                    <a:ln>
                      <a:noFill/>
                    </a:ln>
                  </pic:spPr>
                </pic:pic>
              </a:graphicData>
            </a:graphic>
          </wp:inline>
        </w:drawing>
      </w:r>
    </w:p>
    <w:p>
      <w:pPr>
        <w:pStyle w:val="73"/>
        <w:spacing w:before="156" w:beforeLines="50" w:after="156" w:afterLines="50"/>
        <w:ind w:firstLine="0" w:firstLineChars="0"/>
        <w:jc w:val="center"/>
        <w:rPr>
          <w:rFonts w:ascii="黑体" w:hAnsi="黑体" w:eastAsia="黑体"/>
          <w:kern w:val="2"/>
          <w:szCs w:val="21"/>
        </w:rPr>
      </w:pPr>
      <w:r>
        <w:rPr>
          <w:rFonts w:hint="eastAsia" w:ascii="黑体" w:hAnsi="黑体" w:eastAsia="黑体"/>
          <w:kern w:val="2"/>
          <w:szCs w:val="21"/>
        </w:rPr>
        <w:t>图B.1 地下方案示意图</w:t>
      </w:r>
      <w:r>
        <w:rPr>
          <w:rFonts w:ascii="黑体" w:hAnsi="黑体" w:eastAsia="黑体"/>
          <w:kern w:val="2"/>
          <w:szCs w:val="21"/>
        </w:rPr>
        <w:t>(</w:t>
      </w:r>
      <w:r>
        <w:rPr>
          <w:rFonts w:hint="eastAsia" w:ascii="黑体" w:hAnsi="黑体" w:eastAsia="黑体"/>
          <w:kern w:val="2"/>
          <w:szCs w:val="21"/>
        </w:rPr>
        <w:t>一</w:t>
      </w:r>
      <w:r>
        <w:rPr>
          <w:rFonts w:ascii="黑体" w:hAnsi="黑体" w:eastAsia="黑体"/>
          <w:kern w:val="2"/>
          <w:szCs w:val="21"/>
        </w:rPr>
        <w:t>)</w:t>
      </w: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525" w:firstLineChars="250"/>
        <w:jc w:val="left"/>
        <w:rPr>
          <w:rFonts w:hint="eastAsia" w:asciiTheme="minorEastAsia" w:hAnsiTheme="minorEastAsia" w:eastAsiaTheme="minorEastAsia"/>
          <w:szCs w:val="21"/>
        </w:rPr>
      </w:pPr>
    </w:p>
    <w:p>
      <w:pPr>
        <w:autoSpaceDE w:val="0"/>
        <w:autoSpaceDN w:val="0"/>
        <w:adjustRightInd w:val="0"/>
        <w:ind w:firstLine="840" w:firstLineChars="400"/>
        <w:jc w:val="left"/>
        <w:rPr>
          <w:rFonts w:asciiTheme="minorEastAsia" w:hAnsiTheme="minorEastAsia" w:eastAsiaTheme="minorEastAsia"/>
          <w:szCs w:val="21"/>
        </w:rPr>
      </w:pPr>
      <w:r>
        <w:rPr>
          <w:rFonts w:hint="eastAsia" w:asciiTheme="minorEastAsia" w:hAnsiTheme="minorEastAsia" w:eastAsiaTheme="minorEastAsia"/>
          <w:szCs w:val="21"/>
        </w:rPr>
        <w:t>图B.2给出了防火分区布置示意图</w:t>
      </w:r>
      <w:r>
        <w:rPr>
          <w:rFonts w:asciiTheme="minorEastAsia" w:hAnsiTheme="minorEastAsia" w:eastAsiaTheme="minorEastAsia"/>
          <w:szCs w:val="21"/>
        </w:rPr>
        <w:t>(1-1)</w:t>
      </w:r>
      <w:r>
        <w:rPr>
          <w:rFonts w:hint="eastAsia" w:hAnsi="宋体"/>
          <w:szCs w:val="21"/>
        </w:rPr>
        <w:t>。</w:t>
      </w:r>
    </w:p>
    <w:p>
      <w:pPr>
        <w:autoSpaceDE w:val="0"/>
        <w:autoSpaceDN w:val="0"/>
        <w:adjustRightInd w:val="0"/>
        <w:jc w:val="center"/>
        <w:rPr>
          <w:rFonts w:hint="eastAsia" w:ascii="宋体" w:hAnsi="宋体" w:cs="ﾋﾎﾌ・"/>
          <w:kern w:val="0"/>
          <w:szCs w:val="21"/>
        </w:rPr>
      </w:pPr>
      <w:r>
        <w:rPr>
          <w:rFonts w:ascii="宋体" w:hAnsi="宋体" w:cs="ﾋﾎﾌ・"/>
          <w:kern w:val="0"/>
          <w:szCs w:val="21"/>
        </w:rPr>
        <w:drawing>
          <wp:inline distT="0" distB="0" distL="0" distR="0">
            <wp:extent cx="3787140" cy="4010025"/>
            <wp:effectExtent l="0" t="0" r="3810" b="0"/>
            <wp:docPr id="27" name="图片 27" descr="C:\Users\Administrator\Documents\WeChat Files\wxid_5906509065512\FileStorage\Temp\1694793161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ocuments\WeChat Files\wxid_5906509065512\FileStorage\Temp\16947931616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787760" cy="4010025"/>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图B.2 防火分区布置示意图</w:t>
      </w:r>
      <w:r>
        <w:rPr>
          <w:rFonts w:ascii="黑体" w:hAnsi="黑体" w:eastAsia="黑体"/>
          <w:szCs w:val="21"/>
        </w:rPr>
        <w:t>(1-1)</w:t>
      </w:r>
    </w:p>
    <w:p>
      <w:pPr>
        <w:autoSpaceDE w:val="0"/>
        <w:autoSpaceDN w:val="0"/>
        <w:adjustRightInd w:val="0"/>
        <w:ind w:firstLine="735" w:firstLineChars="350"/>
        <w:jc w:val="left"/>
        <w:rPr>
          <w:rFonts w:hint="eastAsia" w:ascii="宋体" w:cs="宋体"/>
          <w:color w:val="000000"/>
          <w:kern w:val="0"/>
          <w:sz w:val="20"/>
          <w:szCs w:val="20"/>
        </w:rPr>
      </w:pPr>
      <w:r>
        <w:rPr>
          <w:rFonts w:hint="eastAsia" w:asciiTheme="minorEastAsia" w:hAnsiTheme="minorEastAsia" w:eastAsiaTheme="minorEastAsia"/>
          <w:szCs w:val="21"/>
        </w:rPr>
        <w:t>图B.3给出了防火分区布置示意图</w:t>
      </w:r>
      <w:r>
        <w:rPr>
          <w:rFonts w:asciiTheme="minorEastAsia" w:hAnsiTheme="minorEastAsia" w:eastAsiaTheme="minorEastAsia"/>
          <w:szCs w:val="21"/>
        </w:rPr>
        <w:t>(1-2)</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5667375" cy="3050540"/>
            <wp:effectExtent l="0" t="0" r="0" b="0"/>
            <wp:docPr id="28" name="图片 28" descr="C:\Users\Administrator\Documents\WeChat Files\wxid_5906509065512\FileStorage\Temp\1694793432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ocuments\WeChat Files\wxid_5906509065512\FileStorage\Temp\169479343298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64348" cy="3049425"/>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图B.3 防火分区布置示意图</w:t>
      </w:r>
      <w:r>
        <w:rPr>
          <w:rFonts w:ascii="黑体" w:hAnsi="黑体" w:eastAsia="黑体"/>
          <w:szCs w:val="21"/>
        </w:rPr>
        <w:t>(1-</w:t>
      </w:r>
      <w:r>
        <w:rPr>
          <w:rFonts w:hint="eastAsia" w:ascii="黑体" w:hAnsi="黑体" w:eastAsia="黑体"/>
          <w:szCs w:val="21"/>
        </w:rPr>
        <w:t>2</w:t>
      </w:r>
      <w:r>
        <w:rPr>
          <w:rFonts w:ascii="黑体" w:hAnsi="黑体" w:eastAsia="黑体"/>
          <w:szCs w:val="21"/>
        </w:rPr>
        <w:t>)</w:t>
      </w:r>
    </w:p>
    <w:p>
      <w:pPr>
        <w:autoSpaceDE w:val="0"/>
        <w:autoSpaceDN w:val="0"/>
        <w:adjustRightInd w:val="0"/>
        <w:ind w:firstLine="735" w:firstLineChars="350"/>
        <w:jc w:val="left"/>
        <w:rPr>
          <w:rFonts w:hint="eastAsia" w:ascii="宋体" w:cs="宋体"/>
          <w:color w:val="000000"/>
          <w:kern w:val="0"/>
          <w:sz w:val="20"/>
          <w:szCs w:val="20"/>
        </w:rPr>
      </w:pPr>
      <w:r>
        <w:rPr>
          <w:rFonts w:hint="eastAsia" w:asciiTheme="minorEastAsia" w:hAnsiTheme="minorEastAsia" w:eastAsiaTheme="minorEastAsia"/>
          <w:szCs w:val="21"/>
        </w:rPr>
        <w:t>图B.4给出了防火分区布置示意图</w:t>
      </w:r>
      <w:r>
        <w:rPr>
          <w:rFonts w:asciiTheme="minorEastAsia" w:hAnsiTheme="minorEastAsia" w:eastAsiaTheme="minorEastAsia"/>
          <w:szCs w:val="21"/>
        </w:rPr>
        <w:t>(1-</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5940425" cy="3637915"/>
            <wp:effectExtent l="0" t="0" r="3175" b="635"/>
            <wp:docPr id="29" name="图片 29" descr="C:\Users\Administrator\Documents\WeChat Files\wxid_5906509065512\FileStorage\Temp\1694793593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ocuments\WeChat Files\wxid_5906509065512\FileStorage\Temp\16947935932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0425" cy="3638071"/>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图B.4 防火分区布置示意图</w:t>
      </w:r>
      <w:r>
        <w:rPr>
          <w:rFonts w:ascii="黑体" w:hAnsi="黑体" w:eastAsia="黑体"/>
          <w:szCs w:val="21"/>
        </w:rPr>
        <w:t>(1-</w:t>
      </w:r>
      <w:r>
        <w:rPr>
          <w:rFonts w:hint="eastAsia" w:ascii="黑体" w:hAnsi="黑体" w:eastAsia="黑体"/>
          <w:szCs w:val="21"/>
        </w:rPr>
        <w:t>3</w:t>
      </w:r>
      <w:r>
        <w:rPr>
          <w:rFonts w:ascii="黑体" w:hAnsi="黑体" w:eastAsia="黑体"/>
          <w:szCs w:val="21"/>
        </w:rPr>
        <w:t>)</w:t>
      </w:r>
    </w:p>
    <w:p>
      <w:pPr>
        <w:autoSpaceDE w:val="0"/>
        <w:autoSpaceDN w:val="0"/>
        <w:adjustRightInd w:val="0"/>
        <w:ind w:firstLine="210" w:firstLineChars="100"/>
        <w:jc w:val="left"/>
        <w:rPr>
          <w:rFonts w:hint="eastAsia" w:ascii="宋体" w:cs="宋体"/>
          <w:color w:val="000000"/>
          <w:kern w:val="0"/>
          <w:sz w:val="20"/>
          <w:szCs w:val="20"/>
        </w:rPr>
      </w:pPr>
      <w:r>
        <w:rPr>
          <w:rFonts w:hint="eastAsia" w:asciiTheme="minorEastAsia" w:hAnsiTheme="minorEastAsia" w:eastAsiaTheme="minorEastAsia"/>
          <w:szCs w:val="21"/>
        </w:rPr>
        <w:t>图B.5给出了防火分区布置示意图</w:t>
      </w:r>
      <w:r>
        <w:rPr>
          <w:rFonts w:asciiTheme="minorEastAsia" w:hAnsiTheme="minorEastAsia" w:eastAsiaTheme="minorEastAsia"/>
          <w:szCs w:val="21"/>
        </w:rPr>
        <w:t>(1-</w:t>
      </w: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3429000" cy="3660775"/>
            <wp:effectExtent l="0" t="0" r="0" b="0"/>
            <wp:docPr id="30" name="图片 30" descr="C:\Users\Administrator\Documents\WeChat Files\wxid_5906509065512\FileStorage\Temp\1694793680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ocuments\WeChat Files\wxid_5906509065512\FileStorage\Temp\16947936802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36618" cy="3669115"/>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图B.5 防火分区布置示意图</w:t>
      </w:r>
      <w:r>
        <w:rPr>
          <w:rFonts w:ascii="黑体" w:hAnsi="黑体" w:eastAsia="黑体"/>
          <w:szCs w:val="21"/>
        </w:rPr>
        <w:t>(1-</w:t>
      </w:r>
      <w:r>
        <w:rPr>
          <w:rFonts w:hint="eastAsia" w:ascii="黑体" w:hAnsi="黑体" w:eastAsia="黑体"/>
          <w:szCs w:val="21"/>
        </w:rPr>
        <w:t>4</w:t>
      </w:r>
      <w:r>
        <w:rPr>
          <w:rFonts w:ascii="黑体" w:hAnsi="黑体" w:eastAsia="黑体"/>
          <w:szCs w:val="21"/>
        </w:rPr>
        <w:t>)</w:t>
      </w:r>
    </w:p>
    <w:p>
      <w:pPr>
        <w:autoSpaceDE w:val="0"/>
        <w:autoSpaceDN w:val="0"/>
        <w:adjustRightInd w:val="0"/>
        <w:ind w:firstLine="525" w:firstLineChars="250"/>
        <w:jc w:val="left"/>
        <w:rPr>
          <w:rFonts w:hint="eastAsia" w:ascii="宋体" w:cs="宋体"/>
          <w:color w:val="000000"/>
          <w:kern w:val="0"/>
          <w:sz w:val="20"/>
          <w:szCs w:val="20"/>
        </w:rPr>
      </w:pPr>
      <w:r>
        <w:rPr>
          <w:rFonts w:hint="eastAsia" w:asciiTheme="minorEastAsia" w:hAnsiTheme="minorEastAsia" w:eastAsiaTheme="minorEastAsia"/>
          <w:szCs w:val="21"/>
        </w:rPr>
        <w:t>图B.6给出了地下方案示意图</w:t>
      </w:r>
      <w:r>
        <w:rPr>
          <w:rFonts w:asciiTheme="minorEastAsia" w:hAnsiTheme="minorEastAsia" w:eastAsiaTheme="minorEastAsia"/>
          <w:szCs w:val="21"/>
        </w:rPr>
        <w:t>(</w:t>
      </w:r>
      <w:r>
        <w:rPr>
          <w:rFonts w:hint="eastAsia" w:asciiTheme="minorEastAsia" w:hAnsiTheme="minorEastAsia" w:eastAsiaTheme="minorEastAsia"/>
          <w:szCs w:val="21"/>
        </w:rPr>
        <w:t>二</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5940425" cy="3431540"/>
            <wp:effectExtent l="0" t="0" r="3175" b="0"/>
            <wp:docPr id="31" name="图片 31" descr="C:\Users\Administrator\Documents\WeChat Files\wxid_5906509065512\FileStorage\Temp\169479382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ocuments\WeChat Files\wxid_5906509065512\FileStorage\Temp\169479382113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0425" cy="3432088"/>
                    </a:xfrm>
                    <a:prstGeom prst="rect">
                      <a:avLst/>
                    </a:prstGeom>
                    <a:noFill/>
                    <a:ln>
                      <a:noFill/>
                    </a:ln>
                  </pic:spPr>
                </pic:pic>
              </a:graphicData>
            </a:graphic>
          </wp:inline>
        </w:drawing>
      </w:r>
    </w:p>
    <w:p>
      <w:pPr>
        <w:pStyle w:val="73"/>
        <w:spacing w:before="156" w:beforeLines="50" w:after="156" w:afterLines="50"/>
        <w:ind w:firstLine="0" w:firstLineChars="0"/>
        <w:jc w:val="center"/>
        <w:rPr>
          <w:rFonts w:hint="eastAsia" w:ascii="黑体" w:hAnsi="黑体" w:eastAsia="黑体"/>
          <w:kern w:val="2"/>
          <w:szCs w:val="21"/>
        </w:rPr>
      </w:pPr>
      <w:r>
        <w:rPr>
          <w:rFonts w:hint="eastAsia" w:ascii="黑体" w:hAnsi="黑体" w:eastAsia="黑体"/>
          <w:kern w:val="2"/>
          <w:szCs w:val="21"/>
        </w:rPr>
        <w:t>图B.6 地下方案示意图</w:t>
      </w:r>
      <w:r>
        <w:rPr>
          <w:rFonts w:ascii="黑体" w:hAnsi="黑体" w:eastAsia="黑体"/>
          <w:kern w:val="2"/>
          <w:szCs w:val="21"/>
        </w:rPr>
        <w:t>(</w:t>
      </w:r>
      <w:r>
        <w:rPr>
          <w:rFonts w:hint="eastAsia" w:ascii="黑体" w:hAnsi="黑体" w:eastAsia="黑体"/>
          <w:kern w:val="2"/>
          <w:szCs w:val="21"/>
        </w:rPr>
        <w:t>二</w:t>
      </w:r>
      <w:r>
        <w:rPr>
          <w:rFonts w:ascii="黑体" w:hAnsi="黑体" w:eastAsia="黑体"/>
          <w:kern w:val="2"/>
          <w:szCs w:val="21"/>
        </w:rPr>
        <w:t>)</w:t>
      </w:r>
    </w:p>
    <w:p>
      <w:pPr>
        <w:autoSpaceDE w:val="0"/>
        <w:autoSpaceDN w:val="0"/>
        <w:adjustRightInd w:val="0"/>
        <w:ind w:firstLine="735" w:firstLineChars="350"/>
        <w:jc w:val="left"/>
        <w:rPr>
          <w:rFonts w:asciiTheme="minorEastAsia" w:hAnsiTheme="minorEastAsia" w:eastAsiaTheme="minorEastAsia"/>
          <w:szCs w:val="21"/>
        </w:rPr>
      </w:pPr>
      <w:r>
        <w:rPr>
          <w:rFonts w:hint="eastAsia" w:asciiTheme="minorEastAsia" w:hAnsiTheme="minorEastAsia" w:eastAsiaTheme="minorEastAsia"/>
          <w:szCs w:val="21"/>
        </w:rPr>
        <w:t>图B.7给出了防火分区布置示意图</w:t>
      </w:r>
      <w:r>
        <w:rPr>
          <w:rFonts w:asciiTheme="minorEastAsia" w:hAnsiTheme="minorEastAsia" w:eastAsiaTheme="minorEastAsia"/>
          <w:szCs w:val="21"/>
        </w:rPr>
        <w:t>(2-1)</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5143500" cy="3528060"/>
            <wp:effectExtent l="0" t="0" r="0" b="0"/>
            <wp:docPr id="32" name="图片 32" descr="C:\Users\Administrator\Documents\WeChat Files\wxid_5906509065512\FileStorage\Temp\1694793995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ocuments\WeChat Files\wxid_5906509065512\FileStorage\Temp\16947939952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41610" cy="3527205"/>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图B.7 防火分区布置示意图</w:t>
      </w:r>
      <w:r>
        <w:rPr>
          <w:rFonts w:ascii="黑体" w:hAnsi="黑体" w:eastAsia="黑体"/>
          <w:szCs w:val="21"/>
        </w:rPr>
        <w:t>(</w:t>
      </w:r>
      <w:r>
        <w:rPr>
          <w:rFonts w:hint="eastAsia" w:ascii="黑体" w:hAnsi="黑体" w:eastAsia="黑体"/>
          <w:szCs w:val="21"/>
        </w:rPr>
        <w:t>2</w:t>
      </w:r>
      <w:r>
        <w:rPr>
          <w:rFonts w:ascii="黑体" w:hAnsi="黑体" w:eastAsia="黑体"/>
          <w:szCs w:val="21"/>
        </w:rPr>
        <w:t>-</w:t>
      </w:r>
      <w:r>
        <w:rPr>
          <w:rFonts w:hint="eastAsia" w:ascii="黑体" w:hAnsi="黑体" w:eastAsia="黑体"/>
          <w:szCs w:val="21"/>
        </w:rPr>
        <w:t>1</w:t>
      </w:r>
      <w:r>
        <w:rPr>
          <w:rFonts w:ascii="黑体" w:hAnsi="黑体" w:eastAsia="黑体"/>
          <w:szCs w:val="21"/>
        </w:rPr>
        <w:t>)</w:t>
      </w:r>
    </w:p>
    <w:p>
      <w:pPr>
        <w:autoSpaceDE w:val="0"/>
        <w:autoSpaceDN w:val="0"/>
        <w:adjustRightInd w:val="0"/>
        <w:jc w:val="center"/>
        <w:rPr>
          <w:rFonts w:hint="eastAsia" w:ascii="黑体" w:hAnsi="黑体" w:eastAsia="黑体"/>
          <w:szCs w:val="21"/>
        </w:rPr>
      </w:pPr>
    </w:p>
    <w:p>
      <w:pPr>
        <w:autoSpaceDE w:val="0"/>
        <w:autoSpaceDN w:val="0"/>
        <w:adjustRightInd w:val="0"/>
        <w:ind w:firstLine="735" w:firstLineChars="350"/>
        <w:jc w:val="left"/>
        <w:rPr>
          <w:rFonts w:asciiTheme="minorEastAsia" w:hAnsiTheme="minorEastAsia" w:eastAsiaTheme="minorEastAsia"/>
          <w:szCs w:val="21"/>
        </w:rPr>
      </w:pPr>
      <w:r>
        <w:rPr>
          <w:rFonts w:hint="eastAsia" w:asciiTheme="minorEastAsia" w:hAnsiTheme="minorEastAsia" w:eastAsiaTheme="minorEastAsia"/>
          <w:szCs w:val="21"/>
        </w:rPr>
        <w:t>图B.8给出了防火分区布置示意图</w:t>
      </w:r>
      <w:r>
        <w:rPr>
          <w:rFonts w:asciiTheme="minorEastAsia" w:hAnsiTheme="minorEastAsia" w:eastAsiaTheme="minorEastAsia"/>
          <w:szCs w:val="21"/>
        </w:rPr>
        <w:t>(2-</w:t>
      </w:r>
      <w:r>
        <w:rPr>
          <w:rFonts w:hint="eastAsia" w:asciiTheme="minorEastAsia" w:hAnsiTheme="minorEastAsia" w:eastAsiaTheme="minorEastAsia"/>
          <w:szCs w:val="21"/>
        </w:rPr>
        <w:t>2</w:t>
      </w:r>
      <w:r>
        <w:rPr>
          <w:rFonts w:asciiTheme="minorEastAsia" w:hAnsiTheme="minorEastAsia" w:eastAsiaTheme="minorEastAsia"/>
          <w:szCs w:val="21"/>
        </w:rPr>
        <w:t>)</w:t>
      </w:r>
      <w:r>
        <w:rPr>
          <w:rFonts w:hint="eastAsia" w:hAnsi="宋体"/>
          <w:szCs w:val="21"/>
        </w:rPr>
        <w:t>。</w:t>
      </w:r>
    </w:p>
    <w:p>
      <w:pPr>
        <w:autoSpaceDE w:val="0"/>
        <w:autoSpaceDN w:val="0"/>
        <w:adjustRightInd w:val="0"/>
        <w:jc w:val="left"/>
        <w:rPr>
          <w:rFonts w:hint="eastAsia" w:ascii="黑体" w:hAnsi="黑体" w:eastAsia="黑体"/>
          <w:szCs w:val="21"/>
        </w:rPr>
      </w:pPr>
      <w:r>
        <w:rPr>
          <w:rFonts w:ascii="黑体" w:hAnsi="黑体" w:eastAsia="黑体"/>
          <w:szCs w:val="21"/>
        </w:rPr>
        <w:drawing>
          <wp:inline distT="0" distB="0" distL="0" distR="0">
            <wp:extent cx="5940425" cy="2820670"/>
            <wp:effectExtent l="0" t="0" r="3175" b="0"/>
            <wp:docPr id="33" name="图片 33" descr="C:\Users\Administrator\Documents\WeChat Files\wxid_5906509065512\FileStorage\Temp\1694794157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ocuments\WeChat Files\wxid_5906509065512\FileStorage\Temp\169479415717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0425" cy="2821157"/>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图B.8 防火分区布置示意图</w:t>
      </w:r>
      <w:r>
        <w:rPr>
          <w:rFonts w:ascii="黑体" w:hAnsi="黑体" w:eastAsia="黑体"/>
          <w:szCs w:val="21"/>
        </w:rPr>
        <w:t>(</w:t>
      </w:r>
      <w:r>
        <w:rPr>
          <w:rFonts w:hint="eastAsia" w:ascii="黑体" w:hAnsi="黑体" w:eastAsia="黑体"/>
          <w:szCs w:val="21"/>
        </w:rPr>
        <w:t>2</w:t>
      </w:r>
      <w:r>
        <w:rPr>
          <w:rFonts w:ascii="黑体" w:hAnsi="黑体" w:eastAsia="黑体"/>
          <w:szCs w:val="21"/>
        </w:rPr>
        <w:t>-</w:t>
      </w:r>
      <w:r>
        <w:rPr>
          <w:rFonts w:hint="eastAsia" w:ascii="黑体" w:hAnsi="黑体" w:eastAsia="黑体"/>
          <w:szCs w:val="21"/>
        </w:rPr>
        <w:t>2</w:t>
      </w:r>
      <w:r>
        <w:rPr>
          <w:rFonts w:ascii="黑体" w:hAnsi="黑体" w:eastAsia="黑体"/>
          <w:szCs w:val="21"/>
        </w:rPr>
        <w:t>)</w:t>
      </w:r>
    </w:p>
    <w:p>
      <w:pPr>
        <w:autoSpaceDE w:val="0"/>
        <w:autoSpaceDN w:val="0"/>
        <w:adjustRightInd w:val="0"/>
        <w:ind w:firstLine="735" w:firstLineChars="350"/>
        <w:jc w:val="left"/>
        <w:rPr>
          <w:rFonts w:asciiTheme="minorEastAsia" w:hAnsiTheme="minorEastAsia" w:eastAsiaTheme="minorEastAsia"/>
          <w:szCs w:val="21"/>
        </w:rPr>
      </w:pPr>
      <w:r>
        <w:rPr>
          <w:rFonts w:hint="eastAsia" w:asciiTheme="minorEastAsia" w:hAnsiTheme="minorEastAsia" w:eastAsiaTheme="minorEastAsia"/>
          <w:szCs w:val="21"/>
        </w:rPr>
        <w:t>图B.9给出了防火分区布置示意图</w:t>
      </w:r>
      <w:r>
        <w:rPr>
          <w:rFonts w:asciiTheme="minorEastAsia" w:hAnsiTheme="minorEastAsia" w:eastAsiaTheme="minorEastAsia"/>
          <w:szCs w:val="21"/>
        </w:rPr>
        <w:t>(2-</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4505325" cy="3990975"/>
            <wp:effectExtent l="0" t="0" r="9525" b="9525"/>
            <wp:docPr id="34" name="图片 34" descr="C:\Users\Administrator\Documents\WeChat Files\wxid_5906509065512\FileStorage\Temp\1694794224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ocuments\WeChat Files\wxid_5906509065512\FileStorage\Temp\16947942249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05325" cy="3990975"/>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图B.9 防火分区布置示意图</w:t>
      </w:r>
      <w:r>
        <w:rPr>
          <w:rFonts w:ascii="黑体" w:hAnsi="黑体" w:eastAsia="黑体"/>
          <w:szCs w:val="21"/>
        </w:rPr>
        <w:t>(</w:t>
      </w:r>
      <w:r>
        <w:rPr>
          <w:rFonts w:hint="eastAsia" w:ascii="黑体" w:hAnsi="黑体" w:eastAsia="黑体"/>
          <w:szCs w:val="21"/>
        </w:rPr>
        <w:t>2</w:t>
      </w:r>
      <w:r>
        <w:rPr>
          <w:rFonts w:ascii="黑体" w:hAnsi="黑体" w:eastAsia="黑体"/>
          <w:szCs w:val="21"/>
        </w:rPr>
        <w:t>-</w:t>
      </w:r>
      <w:r>
        <w:rPr>
          <w:rFonts w:hint="eastAsia" w:ascii="黑体" w:hAnsi="黑体" w:eastAsia="黑体"/>
          <w:szCs w:val="21"/>
        </w:rPr>
        <w:t>3</w:t>
      </w:r>
      <w:r>
        <w:rPr>
          <w:rFonts w:ascii="黑体" w:hAnsi="黑体" w:eastAsia="黑体"/>
          <w:szCs w:val="21"/>
        </w:rPr>
        <w:t>)</w:t>
      </w:r>
    </w:p>
    <w:p>
      <w:pPr>
        <w:autoSpaceDE w:val="0"/>
        <w:autoSpaceDN w:val="0"/>
        <w:adjustRightInd w:val="0"/>
        <w:jc w:val="center"/>
        <w:rPr>
          <w:rFonts w:hint="eastAsia" w:ascii="黑体" w:hAnsi="黑体" w:eastAsia="黑体"/>
          <w:szCs w:val="21"/>
        </w:rPr>
      </w:pPr>
    </w:p>
    <w:p>
      <w:pPr>
        <w:autoSpaceDE w:val="0"/>
        <w:autoSpaceDN w:val="0"/>
        <w:adjustRightInd w:val="0"/>
        <w:ind w:firstLine="735" w:firstLineChars="350"/>
        <w:jc w:val="left"/>
        <w:rPr>
          <w:rFonts w:asciiTheme="minorEastAsia" w:hAnsiTheme="minorEastAsia" w:eastAsiaTheme="minorEastAsia"/>
          <w:szCs w:val="21"/>
        </w:rPr>
      </w:pPr>
      <w:r>
        <w:rPr>
          <w:rFonts w:hint="eastAsia" w:asciiTheme="minorEastAsia" w:hAnsiTheme="minorEastAsia" w:eastAsiaTheme="minorEastAsia"/>
          <w:szCs w:val="21"/>
        </w:rPr>
        <w:t>图B.10给出了防火单元布置示意图</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1</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2771775" cy="3857625"/>
            <wp:effectExtent l="0" t="0" r="9525" b="9525"/>
            <wp:docPr id="35" name="图片 35" descr="C:\Users\ADMINI~1\AppData\Local\Temp\WeChat Files\ad2205d6a2f83150b10a98dcc36d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WeChat Files\ad2205d6a2f83150b10a98dcc36d6a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71775" cy="3857625"/>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图B.10 防火</w:t>
      </w:r>
      <w:r>
        <w:rPr>
          <w:rFonts w:hint="eastAsia" w:asciiTheme="minorEastAsia" w:hAnsiTheme="minorEastAsia" w:eastAsiaTheme="minorEastAsia"/>
          <w:szCs w:val="21"/>
        </w:rPr>
        <w:t>单元</w:t>
      </w:r>
      <w:r>
        <w:rPr>
          <w:rFonts w:hint="eastAsia" w:ascii="黑体" w:hAnsi="黑体" w:eastAsia="黑体"/>
          <w:szCs w:val="21"/>
        </w:rPr>
        <w:t>布置示意图</w:t>
      </w:r>
      <w:r>
        <w:rPr>
          <w:rFonts w:ascii="黑体" w:hAnsi="黑体" w:eastAsia="黑体"/>
          <w:szCs w:val="21"/>
        </w:rPr>
        <w:t>(</w:t>
      </w:r>
      <w:r>
        <w:rPr>
          <w:rFonts w:hint="eastAsia" w:ascii="黑体" w:hAnsi="黑体" w:eastAsia="黑体"/>
          <w:szCs w:val="21"/>
        </w:rPr>
        <w:t>3</w:t>
      </w:r>
      <w:r>
        <w:rPr>
          <w:rFonts w:ascii="黑体" w:hAnsi="黑体" w:eastAsia="黑体"/>
          <w:szCs w:val="21"/>
        </w:rPr>
        <w:t>-</w:t>
      </w:r>
      <w:r>
        <w:rPr>
          <w:rFonts w:hint="eastAsia" w:ascii="黑体" w:hAnsi="黑体" w:eastAsia="黑体"/>
          <w:szCs w:val="21"/>
        </w:rPr>
        <w:t>1</w:t>
      </w:r>
      <w:r>
        <w:rPr>
          <w:rFonts w:ascii="黑体" w:hAnsi="黑体" w:eastAsia="黑体"/>
          <w:szCs w:val="21"/>
        </w:rPr>
        <w:t>)</w:t>
      </w:r>
    </w:p>
    <w:p>
      <w:pPr>
        <w:autoSpaceDE w:val="0"/>
        <w:autoSpaceDN w:val="0"/>
        <w:adjustRightInd w:val="0"/>
        <w:ind w:firstLine="840" w:firstLineChars="400"/>
        <w:jc w:val="left"/>
        <w:rPr>
          <w:rFonts w:asciiTheme="minorEastAsia" w:hAnsiTheme="minorEastAsia" w:eastAsiaTheme="minorEastAsia"/>
          <w:szCs w:val="21"/>
        </w:rPr>
      </w:pPr>
      <w:r>
        <w:rPr>
          <w:rFonts w:hint="eastAsia" w:asciiTheme="minorEastAsia" w:hAnsiTheme="minorEastAsia" w:eastAsiaTheme="minorEastAsia"/>
          <w:szCs w:val="21"/>
        </w:rPr>
        <w:t>图B.11给出了防火单元布置示意图</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黑体" w:hAnsi="黑体" w:eastAsia="黑体"/>
          <w:szCs w:val="21"/>
        </w:rPr>
      </w:pPr>
      <w:r>
        <w:rPr>
          <w:rFonts w:ascii="黑体" w:hAnsi="黑体" w:eastAsia="黑体"/>
          <w:szCs w:val="21"/>
        </w:rPr>
        <w:drawing>
          <wp:inline distT="0" distB="0" distL="0" distR="0">
            <wp:extent cx="2362200" cy="3110865"/>
            <wp:effectExtent l="0" t="0" r="0" b="0"/>
            <wp:docPr id="36" name="图片 36" descr="C:\Users\ADMINI~1\AppData\Local\Temp\WeChat Files\52651a0cfe4e63ec5338efc913b4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WeChat Files\52651a0cfe4e63ec5338efc913b4a8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62200" cy="3111002"/>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图B.11 防火</w:t>
      </w:r>
      <w:r>
        <w:rPr>
          <w:rFonts w:hint="eastAsia" w:asciiTheme="minorEastAsia" w:hAnsiTheme="minorEastAsia" w:eastAsiaTheme="minorEastAsia"/>
          <w:szCs w:val="21"/>
        </w:rPr>
        <w:t>单元</w:t>
      </w:r>
      <w:r>
        <w:rPr>
          <w:rFonts w:hint="eastAsia" w:ascii="黑体" w:hAnsi="黑体" w:eastAsia="黑体"/>
          <w:szCs w:val="21"/>
        </w:rPr>
        <w:t>布置示意图</w:t>
      </w:r>
      <w:r>
        <w:rPr>
          <w:rFonts w:ascii="黑体" w:hAnsi="黑体" w:eastAsia="黑体"/>
          <w:szCs w:val="21"/>
        </w:rPr>
        <w:t>(</w:t>
      </w:r>
      <w:r>
        <w:rPr>
          <w:rFonts w:hint="eastAsia" w:ascii="黑体" w:hAnsi="黑体" w:eastAsia="黑体"/>
          <w:szCs w:val="21"/>
        </w:rPr>
        <w:t>3</w:t>
      </w:r>
      <w:r>
        <w:rPr>
          <w:rFonts w:ascii="黑体" w:hAnsi="黑体" w:eastAsia="黑体"/>
          <w:szCs w:val="21"/>
        </w:rPr>
        <w:t>-</w:t>
      </w:r>
      <w:r>
        <w:rPr>
          <w:rFonts w:hint="eastAsia" w:ascii="黑体" w:hAnsi="黑体" w:eastAsia="黑体"/>
          <w:szCs w:val="21"/>
        </w:rPr>
        <w:t>2</w:t>
      </w:r>
      <w:r>
        <w:rPr>
          <w:rFonts w:ascii="黑体" w:hAnsi="黑体" w:eastAsia="黑体"/>
          <w:szCs w:val="21"/>
        </w:rPr>
        <w:t>)</w:t>
      </w:r>
    </w:p>
    <w:p>
      <w:pPr>
        <w:autoSpaceDE w:val="0"/>
        <w:autoSpaceDN w:val="0"/>
        <w:adjustRightInd w:val="0"/>
        <w:jc w:val="center"/>
        <w:rPr>
          <w:rFonts w:hint="eastAsia" w:ascii="宋体" w:hAnsi="宋体" w:cs="ﾋﾎﾌ・"/>
          <w:kern w:val="0"/>
          <w:szCs w:val="21"/>
        </w:rPr>
      </w:pPr>
    </w:p>
    <w:p>
      <w:pPr>
        <w:autoSpaceDE w:val="0"/>
        <w:autoSpaceDN w:val="0"/>
        <w:adjustRightInd w:val="0"/>
        <w:ind w:firstLine="735" w:firstLineChars="350"/>
        <w:jc w:val="left"/>
        <w:rPr>
          <w:rFonts w:asciiTheme="minorEastAsia" w:hAnsiTheme="minorEastAsia" w:eastAsiaTheme="minorEastAsia"/>
          <w:szCs w:val="21"/>
        </w:rPr>
      </w:pPr>
      <w:r>
        <w:rPr>
          <w:rFonts w:hint="eastAsia" w:asciiTheme="minorEastAsia" w:hAnsiTheme="minorEastAsia" w:eastAsiaTheme="minorEastAsia"/>
          <w:szCs w:val="21"/>
        </w:rPr>
        <w:t>图B.12给出了防火单元布置示意图</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hAnsi="宋体"/>
          <w:szCs w:val="21"/>
        </w:rPr>
        <w:t>。</w:t>
      </w:r>
    </w:p>
    <w:p>
      <w:pPr>
        <w:autoSpaceDE w:val="0"/>
        <w:autoSpaceDN w:val="0"/>
        <w:adjustRightInd w:val="0"/>
        <w:jc w:val="center"/>
        <w:rPr>
          <w:rFonts w:hint="eastAsia" w:ascii="宋体" w:hAnsi="宋体" w:cs="ﾋﾎﾌ・"/>
          <w:kern w:val="0"/>
          <w:szCs w:val="21"/>
        </w:rPr>
      </w:pPr>
      <w:r>
        <w:rPr>
          <w:rFonts w:ascii="宋体" w:hAnsi="宋体" w:cs="ﾋﾎﾌ・"/>
          <w:kern w:val="0"/>
          <w:szCs w:val="21"/>
        </w:rPr>
        <w:drawing>
          <wp:inline distT="0" distB="0" distL="0" distR="0">
            <wp:extent cx="5076825" cy="3771900"/>
            <wp:effectExtent l="0" t="0" r="9525" b="0"/>
            <wp:docPr id="37" name="图片 37" descr="C:\Users\ADMINI~1\AppData\Local\Temp\WeChat Files\8c0087f708a2546520895412b605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WeChat Files\8c0087f708a2546520895412b605c8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76825" cy="3771900"/>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图B.12 防火</w:t>
      </w:r>
      <w:r>
        <w:rPr>
          <w:rFonts w:hint="eastAsia" w:asciiTheme="minorEastAsia" w:hAnsiTheme="minorEastAsia" w:eastAsiaTheme="minorEastAsia"/>
          <w:szCs w:val="21"/>
        </w:rPr>
        <w:t>单元</w:t>
      </w:r>
      <w:r>
        <w:rPr>
          <w:rFonts w:hint="eastAsia" w:ascii="黑体" w:hAnsi="黑体" w:eastAsia="黑体"/>
          <w:szCs w:val="21"/>
        </w:rPr>
        <w:t>布置示意图</w:t>
      </w:r>
      <w:r>
        <w:rPr>
          <w:rFonts w:ascii="黑体" w:hAnsi="黑体" w:eastAsia="黑体"/>
          <w:szCs w:val="21"/>
        </w:rPr>
        <w:t>(</w:t>
      </w:r>
      <w:r>
        <w:rPr>
          <w:rFonts w:hint="eastAsia" w:ascii="黑体" w:hAnsi="黑体" w:eastAsia="黑体"/>
          <w:szCs w:val="21"/>
        </w:rPr>
        <w:t>3</w:t>
      </w:r>
      <w:r>
        <w:rPr>
          <w:rFonts w:ascii="黑体" w:hAnsi="黑体" w:eastAsia="黑体"/>
          <w:szCs w:val="21"/>
        </w:rPr>
        <w:t>-</w:t>
      </w:r>
      <w:r>
        <w:rPr>
          <w:rFonts w:hint="eastAsia" w:ascii="黑体" w:hAnsi="黑体" w:eastAsia="黑体"/>
          <w:szCs w:val="21"/>
        </w:rPr>
        <w:t>3</w:t>
      </w:r>
      <w:r>
        <w:rPr>
          <w:rFonts w:ascii="黑体" w:hAnsi="黑体" w:eastAsia="黑体"/>
          <w:szCs w:val="21"/>
        </w:rPr>
        <w:t>)</w:t>
      </w:r>
    </w:p>
    <w:p>
      <w:pPr>
        <w:autoSpaceDE w:val="0"/>
        <w:autoSpaceDN w:val="0"/>
        <w:adjustRightInd w:val="0"/>
        <w:ind w:firstLine="735" w:firstLineChars="350"/>
        <w:jc w:val="left"/>
        <w:rPr>
          <w:rFonts w:hint="eastAsia" w:asciiTheme="minorEastAsia" w:hAnsiTheme="minorEastAsia" w:eastAsiaTheme="minorEastAsia"/>
          <w:szCs w:val="21"/>
        </w:rPr>
      </w:pPr>
      <w:r>
        <w:rPr>
          <w:rFonts w:hint="eastAsia" w:asciiTheme="minorEastAsia" w:hAnsiTheme="minorEastAsia" w:eastAsiaTheme="minorEastAsia"/>
          <w:szCs w:val="21"/>
        </w:rPr>
        <w:t>图B.13给出了桥架方案示意图</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hAnsi="宋体"/>
          <w:szCs w:val="21"/>
        </w:rPr>
        <w:t>。</w:t>
      </w:r>
    </w:p>
    <w:p>
      <w:pPr>
        <w:autoSpaceDE w:val="0"/>
        <w:autoSpaceDN w:val="0"/>
        <w:adjustRightInd w:val="0"/>
        <w:rPr>
          <w:rFonts w:hint="eastAsia" w:ascii="宋体" w:hAnsi="宋体" w:cs="ﾋﾎﾌ・"/>
          <w:kern w:val="0"/>
          <w:szCs w:val="21"/>
        </w:rPr>
      </w:pPr>
      <w:r>
        <w:rPr>
          <w:rFonts w:hint="eastAsia" w:ascii="宋体" w:hAnsi="宋体" w:cs="ﾋﾎﾌ・"/>
          <w:kern w:val="0"/>
          <w:szCs w:val="21"/>
        </w:rPr>
        <w:t xml:space="preserve">   </w:t>
      </w:r>
      <w:r>
        <w:rPr>
          <w:rFonts w:ascii="宋体" w:hAnsi="宋体" w:cs="ﾋﾎﾌ・"/>
          <w:kern w:val="0"/>
          <w:szCs w:val="21"/>
        </w:rPr>
        <w:drawing>
          <wp:inline distT="0" distB="0" distL="0" distR="0">
            <wp:extent cx="5734050" cy="2476500"/>
            <wp:effectExtent l="0" t="0" r="0" b="0"/>
            <wp:docPr id="38" name="图片 38" descr="C:\Users\Administrator\Documents\WeChat Files\wxid_5906509065512\FileStorage\Temp\1694794636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ocuments\WeChat Files\wxid_5906509065512\FileStorage\Temp\169479463635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34050" cy="2476500"/>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hint="eastAsia" w:ascii="黑体" w:hAnsi="黑体" w:eastAsia="黑体"/>
          <w:szCs w:val="21"/>
        </w:rPr>
      </w:pPr>
      <w:r>
        <w:rPr>
          <w:rFonts w:hint="eastAsia" w:ascii="黑体" w:hAnsi="黑体" w:eastAsia="黑体"/>
          <w:szCs w:val="21"/>
        </w:rPr>
        <w:t>图B.13 桥架方案示意图</w:t>
      </w:r>
      <w:r>
        <w:rPr>
          <w:rFonts w:ascii="黑体" w:hAnsi="黑体" w:eastAsia="黑体"/>
          <w:szCs w:val="21"/>
        </w:rPr>
        <w:t>(</w:t>
      </w:r>
      <w:r>
        <w:rPr>
          <w:rFonts w:hint="eastAsia" w:ascii="黑体" w:hAnsi="黑体" w:eastAsia="黑体"/>
          <w:szCs w:val="21"/>
        </w:rPr>
        <w:t>3</w:t>
      </w:r>
      <w:r>
        <w:rPr>
          <w:rFonts w:ascii="黑体" w:hAnsi="黑体" w:eastAsia="黑体"/>
          <w:szCs w:val="21"/>
        </w:rPr>
        <w:t>-</w:t>
      </w:r>
      <w:r>
        <w:rPr>
          <w:rFonts w:hint="eastAsia" w:ascii="黑体" w:hAnsi="黑体" w:eastAsia="黑体"/>
          <w:szCs w:val="21"/>
        </w:rPr>
        <w:t>3</w:t>
      </w:r>
      <w:r>
        <w:rPr>
          <w:rFonts w:ascii="黑体" w:hAnsi="黑体" w:eastAsia="黑体"/>
          <w:szCs w:val="21"/>
        </w:rPr>
        <w:t>)</w:t>
      </w:r>
    </w:p>
    <w:p>
      <w:pPr>
        <w:autoSpaceDE w:val="0"/>
        <w:autoSpaceDN w:val="0"/>
        <w:adjustRightInd w:val="0"/>
        <w:spacing w:before="156" w:beforeLines="50" w:after="156" w:afterLines="50"/>
        <w:jc w:val="center"/>
        <w:rPr>
          <w:rFonts w:hint="eastAsia" w:ascii="黑体" w:hAnsi="黑体" w:eastAsia="黑体"/>
          <w:szCs w:val="21"/>
        </w:rPr>
      </w:pPr>
    </w:p>
    <w:p>
      <w:pPr>
        <w:autoSpaceDE w:val="0"/>
        <w:autoSpaceDN w:val="0"/>
        <w:adjustRightInd w:val="0"/>
        <w:spacing w:before="156" w:beforeLines="50" w:after="156" w:afterLines="50"/>
        <w:jc w:val="center"/>
        <w:rPr>
          <w:rFonts w:hint="eastAsia" w:ascii="黑体" w:hAnsi="黑体" w:eastAsia="黑体"/>
          <w:szCs w:val="21"/>
        </w:rPr>
      </w:pPr>
    </w:p>
    <w:p>
      <w:pPr>
        <w:autoSpaceDE w:val="0"/>
        <w:autoSpaceDN w:val="0"/>
        <w:adjustRightInd w:val="0"/>
        <w:spacing w:before="156" w:beforeLines="50" w:after="156" w:afterLines="50"/>
        <w:jc w:val="center"/>
        <w:rPr>
          <w:rFonts w:hint="eastAsia" w:ascii="黑体" w:hAnsi="黑体" w:eastAsia="黑体"/>
          <w:szCs w:val="21"/>
        </w:rPr>
      </w:pPr>
    </w:p>
    <w:p>
      <w:pPr>
        <w:autoSpaceDE w:val="0"/>
        <w:autoSpaceDN w:val="0"/>
        <w:adjustRightInd w:val="0"/>
        <w:ind w:firstLine="735" w:firstLineChars="350"/>
        <w:jc w:val="left"/>
        <w:rPr>
          <w:rFonts w:hint="eastAsia" w:asciiTheme="minorEastAsia" w:hAnsiTheme="minorEastAsia" w:eastAsiaTheme="minorEastAsia"/>
          <w:szCs w:val="21"/>
        </w:rPr>
      </w:pPr>
      <w:r>
        <w:rPr>
          <w:rFonts w:hint="eastAsia" w:asciiTheme="minorEastAsia" w:hAnsiTheme="minorEastAsia" w:eastAsiaTheme="minorEastAsia"/>
          <w:szCs w:val="21"/>
        </w:rPr>
        <w:t>图B.14给出了入户大厅公共区域靠墙安装示意图</w:t>
      </w:r>
      <w:r>
        <w:rPr>
          <w:rFonts w:hint="eastAsia" w:hAnsi="宋体"/>
          <w:szCs w:val="21"/>
        </w:rPr>
        <w:t>。</w:t>
      </w:r>
    </w:p>
    <w:p>
      <w:pPr>
        <w:autoSpaceDE w:val="0"/>
        <w:autoSpaceDN w:val="0"/>
        <w:adjustRightInd w:val="0"/>
        <w:jc w:val="center"/>
        <w:rPr>
          <w:rFonts w:hint="eastAsia" w:ascii="宋体" w:hAnsi="宋体" w:cs="ﾋﾎﾌ・"/>
          <w:kern w:val="0"/>
          <w:szCs w:val="21"/>
        </w:rPr>
      </w:pPr>
      <w:r>
        <w:rPr>
          <w:rFonts w:ascii="宋体" w:hAnsi="宋体" w:cs="ﾋﾎﾌ・"/>
          <w:kern w:val="0"/>
          <w:szCs w:val="21"/>
        </w:rPr>
        <w:drawing>
          <wp:inline distT="0" distB="0" distL="0" distR="0">
            <wp:extent cx="5553075" cy="3752850"/>
            <wp:effectExtent l="0" t="0" r="9525" b="0"/>
            <wp:docPr id="39" name="图片 39" descr="C:\Users\ADMINI~1\AppData\Local\Temp\WeChat Files\3427ee648ca62b59f5a83816439a9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WeChat Files\3427ee648ca62b59f5a83816439a9e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53075" cy="3752850"/>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ascii="黑体" w:hAnsi="黑体" w:eastAsia="黑体"/>
          <w:szCs w:val="21"/>
        </w:rPr>
      </w:pPr>
      <w:r>
        <w:rPr>
          <w:rFonts w:hint="eastAsia" w:ascii="黑体" w:hAnsi="黑体" w:eastAsia="黑体"/>
          <w:szCs w:val="21"/>
        </w:rPr>
        <w:t>图B.14 入户大厅公共区域靠墙安装示意图</w:t>
      </w:r>
    </w:p>
    <w:p>
      <w:pPr>
        <w:autoSpaceDE w:val="0"/>
        <w:autoSpaceDN w:val="0"/>
        <w:adjustRightInd w:val="0"/>
        <w:ind w:firstLine="735" w:firstLineChars="350"/>
        <w:jc w:val="left"/>
        <w:rPr>
          <w:rFonts w:hint="eastAsia" w:asciiTheme="minorEastAsia" w:hAnsiTheme="minorEastAsia" w:eastAsiaTheme="minorEastAsia"/>
          <w:szCs w:val="21"/>
        </w:rPr>
      </w:pPr>
      <w:r>
        <w:rPr>
          <w:rFonts w:hint="eastAsia" w:asciiTheme="minorEastAsia" w:hAnsiTheme="minorEastAsia" w:eastAsiaTheme="minorEastAsia"/>
          <w:szCs w:val="21"/>
        </w:rPr>
        <w:t>图B.15给出了电缆穿楼板孔防火板防火孔封堵图</w:t>
      </w:r>
      <w:r>
        <w:rPr>
          <w:rFonts w:hint="eastAsia" w:hAnsi="宋体"/>
          <w:szCs w:val="21"/>
        </w:rPr>
        <w:t>。</w:t>
      </w:r>
    </w:p>
    <w:p>
      <w:pPr>
        <w:autoSpaceDE w:val="0"/>
        <w:autoSpaceDN w:val="0"/>
        <w:adjustRightInd w:val="0"/>
        <w:jc w:val="center"/>
        <w:rPr>
          <w:rFonts w:hint="eastAsia" w:ascii="宋体" w:hAnsi="宋体" w:cs="ﾋﾎﾌ・"/>
          <w:kern w:val="0"/>
          <w:szCs w:val="21"/>
        </w:rPr>
      </w:pPr>
      <w:r>
        <w:rPr>
          <w:rFonts w:ascii="宋体" w:hAnsi="宋体" w:cs="ﾋﾎﾌ・"/>
          <w:kern w:val="0"/>
          <w:szCs w:val="21"/>
        </w:rPr>
        <w:drawing>
          <wp:inline distT="0" distB="0" distL="0" distR="0">
            <wp:extent cx="5505450" cy="3524250"/>
            <wp:effectExtent l="0" t="0" r="0" b="0"/>
            <wp:docPr id="40" name="图片 40" descr="C:\Users\Administrator\Documents\WeChat Files\wxid_5906509065512\FileStorage\Temp\1694795229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ocuments\WeChat Files\wxid_5906509065512\FileStorage\Temp\16947952293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505450" cy="3524250"/>
                    </a:xfrm>
                    <a:prstGeom prst="rect">
                      <a:avLst/>
                    </a:prstGeom>
                    <a:noFill/>
                    <a:ln>
                      <a:noFill/>
                    </a:ln>
                  </pic:spPr>
                </pic:pic>
              </a:graphicData>
            </a:graphic>
          </wp:inline>
        </w:drawing>
      </w:r>
    </w:p>
    <w:p>
      <w:pPr>
        <w:autoSpaceDE w:val="0"/>
        <w:autoSpaceDN w:val="0"/>
        <w:adjustRightInd w:val="0"/>
        <w:jc w:val="center"/>
        <w:rPr>
          <w:rFonts w:hint="eastAsia" w:ascii="黑体" w:hAnsi="黑体" w:eastAsia="黑体"/>
          <w:szCs w:val="21"/>
        </w:rPr>
      </w:pPr>
      <w:r>
        <w:rPr>
          <w:rFonts w:hint="eastAsia" w:ascii="黑体" w:hAnsi="黑体" w:eastAsia="黑体"/>
          <w:szCs w:val="21"/>
        </w:rPr>
        <w:t>图B.15 电缆穿楼板孔防火板防火孔封堵图</w:t>
      </w:r>
    </w:p>
    <w:p>
      <w:pPr>
        <w:autoSpaceDE w:val="0"/>
        <w:autoSpaceDN w:val="0"/>
        <w:adjustRightInd w:val="0"/>
        <w:jc w:val="center"/>
        <w:rPr>
          <w:rFonts w:hint="eastAsia" w:ascii="黑体" w:hAnsi="黑体" w:eastAsia="黑体"/>
          <w:szCs w:val="21"/>
        </w:rPr>
      </w:pPr>
    </w:p>
    <w:p>
      <w:pPr>
        <w:autoSpaceDE w:val="0"/>
        <w:autoSpaceDN w:val="0"/>
        <w:adjustRightInd w:val="0"/>
        <w:ind w:firstLine="840" w:firstLineChars="400"/>
        <w:jc w:val="left"/>
        <w:rPr>
          <w:rFonts w:hint="eastAsia" w:asciiTheme="minorEastAsia" w:hAnsiTheme="minorEastAsia" w:eastAsiaTheme="minorEastAsia"/>
          <w:szCs w:val="21"/>
        </w:rPr>
      </w:pPr>
      <w:r>
        <w:rPr>
          <w:rFonts w:hint="eastAsia" w:asciiTheme="minorEastAsia" w:hAnsiTheme="minorEastAsia" w:eastAsiaTheme="minorEastAsia"/>
          <w:szCs w:val="21"/>
        </w:rPr>
        <w:t>图B.16给出了电缆穿墙孔防火封堵图</w:t>
      </w:r>
      <w:r>
        <w:rPr>
          <w:rFonts w:hint="eastAsia" w:hAnsi="宋体"/>
          <w:szCs w:val="21"/>
        </w:rPr>
        <w:t>。</w:t>
      </w:r>
    </w:p>
    <w:p>
      <w:pPr>
        <w:autoSpaceDE w:val="0"/>
        <w:autoSpaceDN w:val="0"/>
        <w:adjustRightInd w:val="0"/>
        <w:jc w:val="center"/>
        <w:rPr>
          <w:rFonts w:hint="eastAsia" w:ascii="宋体" w:hAnsi="宋体" w:cs="ﾋﾎﾌ・"/>
          <w:kern w:val="0"/>
          <w:szCs w:val="21"/>
        </w:rPr>
      </w:pPr>
      <w:r>
        <w:rPr>
          <w:rFonts w:ascii="宋体" w:hAnsi="宋体" w:cs="ﾋﾎﾌ・"/>
          <w:kern w:val="0"/>
          <w:szCs w:val="21"/>
        </w:rPr>
        <w:drawing>
          <wp:inline distT="0" distB="0" distL="0" distR="0">
            <wp:extent cx="5029200" cy="3270250"/>
            <wp:effectExtent l="0" t="0" r="0" b="6350"/>
            <wp:docPr id="41" name="图片 41" descr="C:\Users\ADMINI~1\AppData\Local\Temp\WeChat Files\919f619296a4f16eb9b1f975c240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WeChat Files\919f619296a4f16eb9b1f975c24077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30527" cy="3271169"/>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ascii="黑体" w:hAnsi="黑体" w:eastAsia="黑体"/>
          <w:szCs w:val="21"/>
        </w:rPr>
      </w:pPr>
      <w:r>
        <w:rPr>
          <w:rFonts w:hint="eastAsia" w:ascii="黑体" w:hAnsi="黑体" w:eastAsia="黑体"/>
          <w:szCs w:val="21"/>
        </w:rPr>
        <w:t>图B.16 电缆穿墙孔防火封堵图</w:t>
      </w:r>
    </w:p>
    <w:p>
      <w:pPr>
        <w:autoSpaceDE w:val="0"/>
        <w:autoSpaceDN w:val="0"/>
        <w:adjustRightInd w:val="0"/>
        <w:ind w:firstLine="840" w:firstLineChars="400"/>
        <w:jc w:val="left"/>
        <w:rPr>
          <w:rFonts w:hint="eastAsia" w:asciiTheme="minorEastAsia" w:hAnsiTheme="minorEastAsia" w:eastAsiaTheme="minorEastAsia"/>
          <w:szCs w:val="21"/>
        </w:rPr>
      </w:pPr>
      <w:r>
        <w:rPr>
          <w:rFonts w:hint="eastAsia" w:asciiTheme="minorEastAsia" w:hAnsiTheme="minorEastAsia" w:eastAsiaTheme="minorEastAsia"/>
          <w:szCs w:val="21"/>
        </w:rPr>
        <w:t>图B.17给出了电缆穿墙的防水做法图</w:t>
      </w:r>
      <w:r>
        <w:rPr>
          <w:rFonts w:hint="eastAsia" w:hAnsi="宋体"/>
          <w:szCs w:val="21"/>
        </w:rPr>
        <w:t>。</w:t>
      </w:r>
    </w:p>
    <w:p>
      <w:pPr>
        <w:autoSpaceDE w:val="0"/>
        <w:autoSpaceDN w:val="0"/>
        <w:adjustRightInd w:val="0"/>
        <w:jc w:val="center"/>
        <w:rPr>
          <w:rFonts w:hint="eastAsia" w:ascii="宋体" w:hAnsi="宋体" w:cs="ﾋﾎﾌ・"/>
          <w:kern w:val="0"/>
          <w:szCs w:val="21"/>
        </w:rPr>
      </w:pPr>
      <w:r>
        <w:rPr>
          <w:rFonts w:ascii="宋体" w:hAnsi="宋体" w:cs="ﾋﾎﾌ・"/>
          <w:kern w:val="0"/>
          <w:szCs w:val="21"/>
        </w:rPr>
        <w:drawing>
          <wp:inline distT="0" distB="0" distL="0" distR="0">
            <wp:extent cx="4019550" cy="3576955"/>
            <wp:effectExtent l="0" t="0" r="0" b="4445"/>
            <wp:docPr id="42" name="图片 42" descr="C:\Users\Administrator\Documents\WeChat Files\wxid_5906509065512\FileStorage\Temp\169479551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WeChat Files\wxid_5906509065512\FileStorage\Temp\169479551401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026749" cy="3583436"/>
                    </a:xfrm>
                    <a:prstGeom prst="rect">
                      <a:avLst/>
                    </a:prstGeom>
                    <a:noFill/>
                    <a:ln>
                      <a:noFill/>
                    </a:ln>
                  </pic:spPr>
                </pic:pic>
              </a:graphicData>
            </a:graphic>
          </wp:inline>
        </w:drawing>
      </w:r>
    </w:p>
    <w:p>
      <w:pPr>
        <w:autoSpaceDE w:val="0"/>
        <w:autoSpaceDN w:val="0"/>
        <w:adjustRightInd w:val="0"/>
        <w:spacing w:before="156" w:beforeLines="50" w:after="156" w:afterLines="50"/>
        <w:jc w:val="center"/>
        <w:rPr>
          <w:rFonts w:ascii="黑体" w:hAnsi="黑体" w:eastAsia="黑体"/>
          <w:szCs w:val="21"/>
        </w:rPr>
      </w:pPr>
      <w:r>
        <w:rPr>
          <w:rFonts w:hint="eastAsia" w:ascii="黑体" w:hAnsi="黑体" w:eastAsia="黑体"/>
          <w:szCs w:val="21"/>
        </w:rPr>
        <w:t>图B.1</w:t>
      </w:r>
      <w:r>
        <w:rPr>
          <w:rFonts w:hint="eastAsia" w:ascii="黑体" w:hAnsi="黑体" w:eastAsia="黑体"/>
          <w:szCs w:val="21"/>
          <w:lang w:val="en-US" w:eastAsia="zh-CN"/>
        </w:rPr>
        <w:t>7</w:t>
      </w:r>
      <w:r>
        <w:rPr>
          <w:rFonts w:hint="eastAsia" w:ascii="黑体" w:hAnsi="黑体" w:eastAsia="黑体"/>
          <w:szCs w:val="21"/>
        </w:rPr>
        <w:t xml:space="preserve"> 电缆穿墙的防水做法图</w:t>
      </w:r>
    </w:p>
    <w:p>
      <w:pPr>
        <w:autoSpaceDE w:val="0"/>
        <w:autoSpaceDN w:val="0"/>
        <w:adjustRightInd w:val="0"/>
        <w:spacing w:line="400" w:lineRule="exact"/>
        <w:jc w:val="center"/>
        <w:rPr>
          <w:rFonts w:ascii="宋体" w:hAnsi="宋体" w:cs="ﾋﾎﾌ・"/>
          <w:kern w:val="0"/>
          <w:szCs w:val="21"/>
        </w:rPr>
      </w:pPr>
      <w:r>
        <w:rPr>
          <w:rFonts w:ascii="宋体" w:hAnsi="宋体" w:cs="ﾋﾎﾌ・"/>
          <w:kern w:val="0"/>
          <w:szCs w:val="21"/>
        </w:rPr>
        <w:t>_________________________________</w:t>
      </w:r>
    </w:p>
    <w:sectPr>
      <w:headerReference r:id="rId7" w:type="default"/>
      <w:footerReference r:id="rId9" w:type="default"/>
      <w:headerReference r:id="rId8" w:type="even"/>
      <w:footerReference r:id="rId10" w:type="even"/>
      <w:pgSz w:w="11906" w:h="16838"/>
      <w:pgMar w:top="567" w:right="1134" w:bottom="1134" w:left="1417" w:header="1418" w:footer="1134" w:gutter="0"/>
      <w:pgNumType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ArialMT">
    <w:altName w:val="Times New Roman"/>
    <w:panose1 w:val="00000000000000000000"/>
    <w:charset w:val="86"/>
    <w:family w:val="auto"/>
    <w:pitch w:val="default"/>
    <w:sig w:usb0="00000000" w:usb1="00000000" w:usb2="00000010" w:usb3="00000000" w:csb0="00040000" w:csb1="00000000"/>
  </w:font>
  <w:font w:name="ﾋﾎﾌ・">
    <w:altName w:val="MS Mincho"/>
    <w:panose1 w:val="00000000000000000000"/>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71450" cy="131445"/>
              <wp:effectExtent l="0" t="0" r="0" b="0"/>
              <wp:wrapNone/>
              <wp:docPr id="7" name="文本框 1"/>
              <wp:cNvGraphicFramePr/>
              <a:graphic xmlns:a="http://schemas.openxmlformats.org/drawingml/2006/main">
                <a:graphicData uri="http://schemas.microsoft.com/office/word/2010/wordprocessingShape">
                  <wps:wsp>
                    <wps:cNvSpPr txBox="1"/>
                    <wps:spPr>
                      <a:xfrm>
                        <a:off x="0" y="0"/>
                        <a:ext cx="171450" cy="131445"/>
                      </a:xfrm>
                      <a:prstGeom prst="rect">
                        <a:avLst/>
                      </a:prstGeom>
                      <a:noFill/>
                      <a:ln>
                        <a:noFill/>
                      </a:ln>
                      <a:effectLst/>
                    </wps:spPr>
                    <wps:txbx>
                      <w:txbxContent>
                        <w:p>
                          <w:pPr>
                            <w:pStyle w:val="27"/>
                          </w:pPr>
                          <w:r>
                            <w:fldChar w:fldCharType="begin"/>
                          </w:r>
                          <w:r>
                            <w:instrText xml:space="preserve"> PAGE  \* MERGEFORMAT </w:instrText>
                          </w:r>
                          <w:r>
                            <w:fldChar w:fldCharType="separate"/>
                          </w:r>
                          <w:r>
                            <w:t>I</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13.5pt;mso-position-horizontal:outside;mso-position-horizontal-relative:margin;mso-wrap-style:none;z-index:251664384;mso-width-relative:page;mso-height-relative:page;" filled="f" stroked="f" coordsize="21600,21600" o:gfxdata="UEsDBAoAAAAAAIdO4kAAAAAAAAAAAAAAAAAEAAAAZHJzL1BLAwQUAAAACACHTuJA1Y5ci88AAAAD&#10;AQAADwAAAGRycy9kb3ducmV2LnhtbE2PMU/DMBCFdyT+g3WV2KjdDqQKcTpU6sJGQUhsbnyNI+xz&#10;ZLtp8u85WGC509M7vftes5+DFxOmPETSsFkrEEhdtAP1Gt7fjo87ELkYssZHQg0LZti393eNqW28&#10;0StOp9ILDqFcGw2ulLGWMncOg8nrOCKxd4kpmMIy9dImc+Pw4OVWqScZzED8wZkRDw67r9M1aKjm&#10;j4hjxgN+XqYuuWHZ+ZdF64fVRj2DKDiXv2P4wWd0aJnpHK9ks/AauEj5nextK1Zn3qoC2TbyP3v7&#10;DVBLAwQUAAAACACHTuJAXdbs3dMBAAClAwAADgAAAGRycy9lMm9Eb2MueG1srVNLbtswEN0X6B0I&#10;7mtZqdMEguUghZGiQNEWSHoAmiItAvyBQ1vyBdobdNVN9z2Xz5EhJTlNsskiG2o4M3wz781oedUb&#10;TfYigHK2puVsTomw3DXKbmv64+7m3SUlEJltmHZW1PQggF6t3r5Zdr4SZ651uhGBIIiFqvM1bWP0&#10;VVEAb4VhMHNeWAxKFwyLeA3bogmsQ3Sji7P5/EPRudD44LgAQO96CNIRMbwE0EmpuFg7vjPCxgE1&#10;CM0iUoJWeaCr3K2UgsdvUoKIRNcUmcZ8YhG0N+ksVktWbQPzreJjC+wlLTzhZJiyWPQEtWaRkV1Q&#10;z6CM4sGBk3HGnSkGIlkRZFHOn2hz2zIvMheUGvxJdHg9WP51/z0Q1dT0ghLLDA78+PvX8c+/49+f&#10;pEzydB4qzLr1mBf7j67HpZn8gM7EupfBpC/yIRhHcQ8ncUUfCU+PLsrFOUY4hsr35WJxnlCKh8c+&#10;QPwknCHJqGnA2WVJ2f4LxCF1Skm1rLtRWuf5afvIgZiDR+QFGF8nHkO/yYr9ph/JbVxzQG4dLkFN&#10;Le48JfqzRY3TvkxGmIzNZOx8UNsWGy1zl+CvdxFbyp2mCgMsMkwXnF7mOm5aWo//7znr4e9a3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jlyLzwAAAAMBAAAPAAAAAAAAAAEAIAAAACIAAABkcnMv&#10;ZG93bnJldi54bWxQSwECFAAUAAAACACHTuJAXdbs3dMBAAClAwAADgAAAAAAAAABACAAAAAeAQAA&#10;ZHJzL2Uyb0RvYy54bWxQSwUGAAAAAAYABgBZAQAAYwU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209550" cy="131445"/>
              <wp:effectExtent l="0" t="0" r="0" b="0"/>
              <wp:wrapNone/>
              <wp:docPr id="8" name="文本框 2"/>
              <wp:cNvGraphicFramePr/>
              <a:graphic xmlns:a="http://schemas.openxmlformats.org/drawingml/2006/main">
                <a:graphicData uri="http://schemas.microsoft.com/office/word/2010/wordprocessingShape">
                  <wps:wsp>
                    <wps:cNvSpPr txBox="1"/>
                    <wps:spPr>
                      <a:xfrm>
                        <a:off x="0" y="0"/>
                        <a:ext cx="209550" cy="131445"/>
                      </a:xfrm>
                      <a:prstGeom prst="rect">
                        <a:avLst/>
                      </a:prstGeom>
                      <a:noFill/>
                      <a:ln>
                        <a:noFill/>
                      </a:ln>
                      <a:effectLst/>
                    </wps:spPr>
                    <wps:txbx>
                      <w:txbxContent>
                        <w:p>
                          <w:pPr>
                            <w:pStyle w:val="27"/>
                          </w:pPr>
                          <w:r>
                            <w:fldChar w:fldCharType="begin"/>
                          </w:r>
                          <w:r>
                            <w:instrText xml:space="preserve"> PAGE  \* MERGEFORMAT </w:instrText>
                          </w:r>
                          <w:r>
                            <w:fldChar w:fldCharType="separate"/>
                          </w:r>
                          <w:r>
                            <w:t>II</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0.35pt;width:16.5pt;mso-position-horizontal:outside;mso-position-horizontal-relative:margin;mso-wrap-style:none;z-index:251665408;mso-width-relative:page;mso-height-relative:page;" filled="f" stroked="f" coordsize="21600,21600" o:gfxdata="UEsDBAoAAAAAAIdO4kAAAAAAAAAAAAAAAAAEAAAAZHJzL1BLAwQUAAAACACHTuJAhaOM7tAAAAAD&#10;AQAADwAAAGRycy9kb3ducmV2LnhtbE2PwWrDMBBE74X8g9hAb42UBJrgWs4h0EtvTUuhN8XaWKbS&#10;ykiKY/99t720l4Fhlpm39WEKXoyYch9Jw3qlQCC10fbUaXh/e37Yg8jFkDU+EmqYMcOhWdzVprLx&#10;Rq84nkonuIRyZTS4UoZKytw6DCav4oDE2SWmYArb1EmbzI3Lg5cbpR5lMD3xgjMDHh22X6dr0LCb&#10;PiIOGY/4eRnb5Pp5719mre+Xa/UEouBU/o7hB5/RoWGmc7ySzcJr4EfKr3K23bI7a9ioHcimlv/Z&#10;m29QSwMEFAAAAAgAh07iQLwWQMHSAQAApQMAAA4AAABkcnMvZTJvRG9jLnhtbK1TTa7TMBDeI3EH&#10;y3uapLwiiJo+gaqHkBAgPTiA69iNJf/J4zbpBeAGrNiw51w9B2Mn6fth8xZsnPHM+Jv5vpmsrwej&#10;yVEEUM42tFqUlAjLXavsvqHfvt68eE0JRGZbpp0VDT0JoNeb58/Wva/F0nVOtyIQBLFQ976hXYy+&#10;LgrgnTAMFs4Li0HpgmERr2FftIH1iG50sSzLV0XvQuuD4wIAvdsxSCfE8BRAJ6XiYuv4wQgbR9Qg&#10;NItICTrlgW5yt1IKHj9LCSIS3VBkGvOJRdDepbPYrFm9D8x3ik8tsKe08IiTYcpi0QvUlkVGDkH9&#10;A2UUDw6cjAvuTDESyYogi6p8pM1tx7zIXFBq8BfR4f/B8k/HL4GotqE4dssMDvz888f515/z7+9k&#10;meTpPdSYdesxLw7v3IBLM/sBnYn1IINJX+RDMI7ini7iiiESjs5l+Wa1wgjHUPWyurpaJZTi7rEP&#10;EN8LZ0gyGhpwdllSdvwIcUydU1It626U1nl+2j5wIOboEXkBpteJx9hvsuKwGyZyO9eekFuPS9BQ&#10;iztPif5gUeO0L7MRZmM3Gwcf1L7DRqvcJfi3h4gt5U5ThREWGaYLTi9znTYtrcf9e866+7s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o4zu0AAAAAMBAAAPAAAAAAAAAAEAIAAAACIAAABkcnMv&#10;ZG93bnJldi54bWxQSwECFAAUAAAACACHTuJAvBZAwdIBAAClAwAADgAAAAAAAAABACAAAAAfAQAA&#10;ZHJzL2Uyb0RvYy54bWxQSwUGAAAAAAYABgBZAQAAYwU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248285" cy="131445"/>
              <wp:effectExtent l="0" t="0" r="0" b="0"/>
              <wp:wrapNone/>
              <wp:docPr id="9" name="文本框 3"/>
              <wp:cNvGraphicFramePr/>
              <a:graphic xmlns:a="http://schemas.openxmlformats.org/drawingml/2006/main">
                <a:graphicData uri="http://schemas.microsoft.com/office/word/2010/wordprocessingShape">
                  <wps:wsp>
                    <wps:cNvSpPr txBox="1"/>
                    <wps:spPr>
                      <a:xfrm>
                        <a:off x="0" y="0"/>
                        <a:ext cx="248285" cy="131445"/>
                      </a:xfrm>
                      <a:prstGeom prst="rect">
                        <a:avLst/>
                      </a:prstGeom>
                      <a:noFill/>
                      <a:ln>
                        <a:noFill/>
                      </a:ln>
                      <a:effectLst/>
                    </wps:spPr>
                    <wps:txbx>
                      <w:txbxContent>
                        <w:p>
                          <w:pPr>
                            <w:pStyle w:val="27"/>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19.55pt;mso-position-horizontal:outside;mso-position-horizontal-relative:margin;mso-wrap-style:none;z-index:251666432;mso-width-relative:page;mso-height-relative:page;" filled="f" stroked="f" coordsize="21600,21600" o:gfxdata="UEsDBAoAAAAAAIdO4kAAAAAAAAAAAAAAAAAEAAAAZHJzL1BLAwQUAAAACACHTuJAFqrEjtEAAAAD&#10;AQAADwAAAGRycy9kb3ducmV2LnhtbE2PwU7DMBBE70j8g7VI3KidItES4vRQiQs3CkLito23cYS9&#10;jmw3Tf4ewwUuK41mNPO22c3eiYliGgJrqFYKBHEXzMC9hve357stiJSRDbrApGGhBLv2+qrB2oQL&#10;v9J0yL0oJZxq1GBzHmspU2fJY1qFkbh4pxA95iJjL03ESyn3Tq6VepAeBy4LFkfaW+q+DmevYTN/&#10;BBoT7enzNHXRDsvWvSxa395U6glEpjn/heEHv6BDW5iO4cwmCaehPJJ/b/HuHysQRw1rtQHZNvI/&#10;e/sNUEsDBBQAAAAIAIdO4kAfFGRt0wEAAKUDAAAOAAAAZHJzL2Uyb0RvYy54bWytU82O0zAQviPx&#10;DpbvNE23i0rUdAWqFiEhQFp4ANexG0v+k8dt0heAN+DEhTvP1edg7CTdHy574OKMZ8bfzPfNZH3T&#10;G02OIoBytqblbE6JsNw1yu5r+u3r7asVJRCZbZh2VtT0JIDebF6+WHe+EgvXOt2IQBDEQtX5mrYx&#10;+qoogLfCMJg5LywGpQuGRbyGfdEE1iG60cViPn9ddC40PjguANC7HYJ0RAzPAXRSKi62jh+MsHFA&#10;DUKziJSgVR7oJncrpeDxs5QgItE1RaYxn1gE7V06i82aVfvAfKv42AJ7TgtPOBmmLBa9QG1ZZOQQ&#10;1D9QRvHgwMk4484UA5GsCLIo50+0uWuZF5kLSg3+Ijr8P1j+6fglENXU9A0llhkc+Pnnj/OvP+ff&#10;38lVkqfzUGHWnce82L9zPS7N5Ad0Jta9DCZ9kQ/BOIp7uogr+kg4OhfL1WJ1TQnHUHlVLpfXCaW4&#10;f+wDxPfCGZKMmgacXZaUHT9CHFKnlFTLululdZ6fto8ciDl4RF6A8XXiMfSbrNjv+pHczjUn5Nbh&#10;EtTU4s5Toj9Y1Djty2SEydhNxsEHtW+x0TJ3Cf7tIWJLudNUYYBFhumC08tcx01L6/HwnrPu/67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aqxI7RAAAAAwEAAA8AAAAAAAAAAQAgAAAAIgAAAGRy&#10;cy9kb3ducmV2LnhtbFBLAQIUABQAAAAIAIdO4kAfFGRt0wEAAKUDAAAOAAAAAAAAAAEAIAAAACAB&#10;AABkcnMvZTJvRG9jLnhtbFBLBQYAAAAABgAGAFkBAABlBQ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1"/>
      <w:ind w:left="0" w:right="360"/>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248285" cy="131445"/>
              <wp:effectExtent l="0" t="0" r="0" b="0"/>
              <wp:wrapNone/>
              <wp:docPr id="10" name="文本框 4"/>
              <wp:cNvGraphicFramePr/>
              <a:graphic xmlns:a="http://schemas.openxmlformats.org/drawingml/2006/main">
                <a:graphicData uri="http://schemas.microsoft.com/office/word/2010/wordprocessingShape">
                  <wps:wsp>
                    <wps:cNvSpPr txBox="1"/>
                    <wps:spPr>
                      <a:xfrm>
                        <a:off x="0" y="0"/>
                        <a:ext cx="248285" cy="131445"/>
                      </a:xfrm>
                      <a:prstGeom prst="rect">
                        <a:avLst/>
                      </a:prstGeom>
                      <a:noFill/>
                      <a:ln>
                        <a:noFill/>
                      </a:ln>
                      <a:effectLst/>
                    </wps:spPr>
                    <wps:txbx>
                      <w:txbxContent>
                        <w:p>
                          <w:pPr>
                            <w:pStyle w:val="27"/>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0.35pt;width:19.55pt;mso-position-horizontal:outside;mso-position-horizontal-relative:margin;mso-wrap-style:none;z-index:251667456;mso-width-relative:page;mso-height-relative:page;" filled="f" stroked="f" coordsize="21600,21600" o:gfxdata="UEsDBAoAAAAAAIdO4kAAAAAAAAAAAAAAAAAEAAAAZHJzL1BLAwQUAAAACACHTuJAFqrEjtEAAAAD&#10;AQAADwAAAGRycy9kb3ducmV2LnhtbE2PwU7DMBBE70j8g7VI3KidItES4vRQiQs3CkLito23cYS9&#10;jmw3Tf4ewwUuK41mNPO22c3eiYliGgJrqFYKBHEXzMC9hve357stiJSRDbrApGGhBLv2+qrB2oQL&#10;v9J0yL0oJZxq1GBzHmspU2fJY1qFkbh4pxA95iJjL03ESyn3Tq6VepAeBy4LFkfaW+q+DmevYTN/&#10;BBoT7enzNHXRDsvWvSxa395U6glEpjn/heEHv6BDW5iO4cwmCaehPJJ/b/HuHysQRw1rtQHZNvI/&#10;e/sNUEsDBBQAAAAIAIdO4kA4QMqR0wEAAKYDAAAOAAAAZHJzL2Uyb0RvYy54bWytU82O0zAQviPt&#10;O1i+0zSli6qo6QpU7QoJAdLCA7iO3Vjynzxuk77A7htw4sKd5+pzMHaSLiyXPXBxxjPjb+b7ZrK+&#10;6Y0mRxFAOVvTcjanRFjuGmX3Nf329fb1ihKIzDZMOytqehJAbzZXr9adr8TCtU43IhAEsVB1vqZt&#10;jL4qCuCtMAxmzguLQemCYRGvYV80gXWIbnSxmM/fFp0LjQ+OCwD0bocgHRHDSwCdlIqLreMHI2wc&#10;UIPQLCIlaJUHusndSil4/CwliEh0TZFpzCcWQXuXzmKzZtU+MN8qPrbAXtLCM06GKYtFL1BbFhk5&#10;BPUPlFE8OHAyzrgzxUAkK4Isyvkzbe5b5kXmglKDv4gO/w+Wfzp+CUQ1uAkoiWUGJ37+/nj+8ev8&#10;84Eskz6dhwrT7j0mxv696zF38gM6E+1eBpO+SIhgHKFOF3VFHwlH52K5WqyuKeEYKt+Uy+V1Qime&#10;HvsA8U44Q5JR04DDy5qy40eIQ+qUkmpZd6u0zgPU9i8HYg4ekTdgfJ14DP0mK/a7fiS3c80JuXW4&#10;BTW1uPSU6A8WRU4LMxlhMnaTcfBB7VtstMxdgn93iNhS7jRVGGCRYbrg+DLXcdXSfvx5z1lPv9f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aqxI7RAAAAAwEAAA8AAAAAAAAAAQAgAAAAIgAAAGRy&#10;cy9kb3ducmV2LnhtbFBLAQIUABQAAAAIAIdO4kA4QMqR0wEAAKYDAAAOAAAAAAAAAAEAIAAAACAB&#10;AABkcnMvZTJvRG9jLnhtbFBLBQYAAAAABgAGAFkBAABlBQ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7"/>
    </w:pPr>
    <w:r>
      <w:t>DB</w:t>
    </w:r>
    <w:r>
      <w:rPr>
        <w:rFonts w:hint="eastAsia"/>
      </w:rPr>
      <w:t>42</w:t>
    </w:r>
    <w:r>
      <w:t>/</w:t>
    </w:r>
    <w:r>
      <w:rPr>
        <w:rFonts w:hint="eastAsia"/>
      </w:rPr>
      <w:t xml:space="preserve">T </w:t>
    </w:r>
    <w:r>
      <w:t>*****—</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6"/>
    </w:pPr>
    <w:r>
      <w:t>DB</w:t>
    </w:r>
    <w:r>
      <w:rPr>
        <w:rFonts w:hint="eastAsia"/>
      </w:rPr>
      <w:t>42</w:t>
    </w:r>
    <w:r>
      <w:t>/</w:t>
    </w:r>
    <w:r>
      <w:rPr>
        <w:rFonts w:hint="eastAsia"/>
      </w:rPr>
      <w:t xml:space="preserve">T </w:t>
    </w:r>
    <w:r>
      <w:t>*****—</w:t>
    </w: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6"/>
    </w:pPr>
    <w:r>
      <w:t>DB</w:t>
    </w:r>
    <w:r>
      <w:rPr>
        <w:rFonts w:hint="eastAsia"/>
      </w:rPr>
      <w:t>42</w:t>
    </w:r>
    <w:r>
      <w:t>/</w:t>
    </w:r>
    <w:r>
      <w:rPr>
        <w:rFonts w:hint="eastAsia"/>
      </w:rPr>
      <w:t xml:space="preserve">T </w:t>
    </w:r>
    <w:r>
      <w:t>*****</w:t>
    </w:r>
    <w:r>
      <w:rPr>
        <w:rFonts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7"/>
      <w:ind w:right="840"/>
    </w:pPr>
    <w:r>
      <w:t>DB</w:t>
    </w:r>
    <w:r>
      <w:rPr>
        <w:rFonts w:hint="eastAsia"/>
      </w:rPr>
      <w:t>42</w:t>
    </w:r>
    <w:r>
      <w:t>/</w:t>
    </w:r>
    <w:r>
      <w:rPr>
        <w:rFonts w:hint="eastAsia"/>
      </w:rPr>
      <w:t xml:space="preserve">T </w:t>
    </w:r>
    <w:r>
      <w:t>*****</w:t>
    </w:r>
    <w:r>
      <w:rPr>
        <w:rFonts w:hint="eastAsi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mirrorMargins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0Y2I3YzlhMGY4YTdkMGEzMDhiMGI5YmE3OGNiNTAifQ=="/>
  </w:docVars>
  <w:rsids>
    <w:rsidRoot w:val="00035925"/>
    <w:rsid w:val="00000244"/>
    <w:rsid w:val="00001171"/>
    <w:rsid w:val="0000185F"/>
    <w:rsid w:val="00002FF5"/>
    <w:rsid w:val="000048A0"/>
    <w:rsid w:val="0000556E"/>
    <w:rsid w:val="0000586F"/>
    <w:rsid w:val="00007799"/>
    <w:rsid w:val="000115C6"/>
    <w:rsid w:val="00012CD1"/>
    <w:rsid w:val="00013D86"/>
    <w:rsid w:val="00013E02"/>
    <w:rsid w:val="00015FD0"/>
    <w:rsid w:val="0001673D"/>
    <w:rsid w:val="00017DDA"/>
    <w:rsid w:val="000208F6"/>
    <w:rsid w:val="0002143C"/>
    <w:rsid w:val="000226B0"/>
    <w:rsid w:val="00022D2D"/>
    <w:rsid w:val="00024218"/>
    <w:rsid w:val="00024472"/>
    <w:rsid w:val="00024681"/>
    <w:rsid w:val="00025A65"/>
    <w:rsid w:val="00025F39"/>
    <w:rsid w:val="00026672"/>
    <w:rsid w:val="00026C31"/>
    <w:rsid w:val="0002702C"/>
    <w:rsid w:val="00027280"/>
    <w:rsid w:val="000311CA"/>
    <w:rsid w:val="00031301"/>
    <w:rsid w:val="0003169B"/>
    <w:rsid w:val="000320A7"/>
    <w:rsid w:val="000320C2"/>
    <w:rsid w:val="0003336D"/>
    <w:rsid w:val="00033E39"/>
    <w:rsid w:val="0003451C"/>
    <w:rsid w:val="00034A35"/>
    <w:rsid w:val="00035925"/>
    <w:rsid w:val="00036769"/>
    <w:rsid w:val="00036ACC"/>
    <w:rsid w:val="000375B9"/>
    <w:rsid w:val="00041941"/>
    <w:rsid w:val="00042678"/>
    <w:rsid w:val="000429B5"/>
    <w:rsid w:val="000442E7"/>
    <w:rsid w:val="00046599"/>
    <w:rsid w:val="00051985"/>
    <w:rsid w:val="000538A7"/>
    <w:rsid w:val="00055094"/>
    <w:rsid w:val="00055C23"/>
    <w:rsid w:val="000566CE"/>
    <w:rsid w:val="00056889"/>
    <w:rsid w:val="0006091D"/>
    <w:rsid w:val="000629CB"/>
    <w:rsid w:val="000662B2"/>
    <w:rsid w:val="00066F0E"/>
    <w:rsid w:val="00067CDF"/>
    <w:rsid w:val="000704A1"/>
    <w:rsid w:val="00070C1F"/>
    <w:rsid w:val="00071046"/>
    <w:rsid w:val="000719F7"/>
    <w:rsid w:val="00072E10"/>
    <w:rsid w:val="000733A7"/>
    <w:rsid w:val="00073C1E"/>
    <w:rsid w:val="00074FBE"/>
    <w:rsid w:val="00075C2A"/>
    <w:rsid w:val="00082781"/>
    <w:rsid w:val="00083A09"/>
    <w:rsid w:val="00086FFD"/>
    <w:rsid w:val="000870D2"/>
    <w:rsid w:val="000874F9"/>
    <w:rsid w:val="0009005E"/>
    <w:rsid w:val="00090B4C"/>
    <w:rsid w:val="000914A4"/>
    <w:rsid w:val="00092857"/>
    <w:rsid w:val="0009310F"/>
    <w:rsid w:val="000938C8"/>
    <w:rsid w:val="00093B6B"/>
    <w:rsid w:val="00096267"/>
    <w:rsid w:val="000962A4"/>
    <w:rsid w:val="000970E0"/>
    <w:rsid w:val="00097564"/>
    <w:rsid w:val="00097A42"/>
    <w:rsid w:val="000A0A30"/>
    <w:rsid w:val="000A11F6"/>
    <w:rsid w:val="000A20A9"/>
    <w:rsid w:val="000A48B1"/>
    <w:rsid w:val="000B0FD0"/>
    <w:rsid w:val="000B3143"/>
    <w:rsid w:val="000B4A13"/>
    <w:rsid w:val="000B4A1D"/>
    <w:rsid w:val="000B6E0E"/>
    <w:rsid w:val="000C00D7"/>
    <w:rsid w:val="000C0F13"/>
    <w:rsid w:val="000C1B84"/>
    <w:rsid w:val="000C4285"/>
    <w:rsid w:val="000C5FC9"/>
    <w:rsid w:val="000C6B05"/>
    <w:rsid w:val="000C6DD6"/>
    <w:rsid w:val="000C73D4"/>
    <w:rsid w:val="000C7E49"/>
    <w:rsid w:val="000D1ED6"/>
    <w:rsid w:val="000D24F1"/>
    <w:rsid w:val="000D2B56"/>
    <w:rsid w:val="000D3D4C"/>
    <w:rsid w:val="000D4F51"/>
    <w:rsid w:val="000D718B"/>
    <w:rsid w:val="000E0C46"/>
    <w:rsid w:val="000E0E06"/>
    <w:rsid w:val="000E1A49"/>
    <w:rsid w:val="000E2729"/>
    <w:rsid w:val="000E3809"/>
    <w:rsid w:val="000E5D06"/>
    <w:rsid w:val="000F030C"/>
    <w:rsid w:val="000F129C"/>
    <w:rsid w:val="000F2F8E"/>
    <w:rsid w:val="000F7995"/>
    <w:rsid w:val="001016D7"/>
    <w:rsid w:val="00101887"/>
    <w:rsid w:val="001023D9"/>
    <w:rsid w:val="00103CA8"/>
    <w:rsid w:val="001056DE"/>
    <w:rsid w:val="00105831"/>
    <w:rsid w:val="0010726D"/>
    <w:rsid w:val="001124C0"/>
    <w:rsid w:val="00112728"/>
    <w:rsid w:val="00112798"/>
    <w:rsid w:val="0011293E"/>
    <w:rsid w:val="00112AD5"/>
    <w:rsid w:val="0011425F"/>
    <w:rsid w:val="001169F6"/>
    <w:rsid w:val="00116AC0"/>
    <w:rsid w:val="00116BEF"/>
    <w:rsid w:val="00120528"/>
    <w:rsid w:val="00122803"/>
    <w:rsid w:val="00124183"/>
    <w:rsid w:val="00125E78"/>
    <w:rsid w:val="001268B0"/>
    <w:rsid w:val="00126A8B"/>
    <w:rsid w:val="0013175F"/>
    <w:rsid w:val="00131D78"/>
    <w:rsid w:val="00133F91"/>
    <w:rsid w:val="0013578D"/>
    <w:rsid w:val="0013693B"/>
    <w:rsid w:val="00140403"/>
    <w:rsid w:val="001464E9"/>
    <w:rsid w:val="001469DF"/>
    <w:rsid w:val="001469EE"/>
    <w:rsid w:val="00147F9E"/>
    <w:rsid w:val="001512B4"/>
    <w:rsid w:val="001528C3"/>
    <w:rsid w:val="00155C25"/>
    <w:rsid w:val="001566FF"/>
    <w:rsid w:val="00157DC6"/>
    <w:rsid w:val="001620A5"/>
    <w:rsid w:val="00162D1E"/>
    <w:rsid w:val="00162DD5"/>
    <w:rsid w:val="001632C2"/>
    <w:rsid w:val="00164E53"/>
    <w:rsid w:val="00166840"/>
    <w:rsid w:val="0016699D"/>
    <w:rsid w:val="00166A65"/>
    <w:rsid w:val="001670B3"/>
    <w:rsid w:val="00170A10"/>
    <w:rsid w:val="00170A97"/>
    <w:rsid w:val="00175159"/>
    <w:rsid w:val="00175560"/>
    <w:rsid w:val="00175A76"/>
    <w:rsid w:val="00176208"/>
    <w:rsid w:val="0018057C"/>
    <w:rsid w:val="0018211B"/>
    <w:rsid w:val="001840D3"/>
    <w:rsid w:val="001858B6"/>
    <w:rsid w:val="00185CF4"/>
    <w:rsid w:val="00187F4E"/>
    <w:rsid w:val="001900F8"/>
    <w:rsid w:val="0019082B"/>
    <w:rsid w:val="00191258"/>
    <w:rsid w:val="00191EFC"/>
    <w:rsid w:val="00191EFF"/>
    <w:rsid w:val="00192680"/>
    <w:rsid w:val="00193037"/>
    <w:rsid w:val="00193A2C"/>
    <w:rsid w:val="0019429E"/>
    <w:rsid w:val="00195FEA"/>
    <w:rsid w:val="00196036"/>
    <w:rsid w:val="00196B84"/>
    <w:rsid w:val="001973E2"/>
    <w:rsid w:val="00197FE7"/>
    <w:rsid w:val="001A0917"/>
    <w:rsid w:val="001A0A43"/>
    <w:rsid w:val="001A1AA5"/>
    <w:rsid w:val="001A288E"/>
    <w:rsid w:val="001A3A81"/>
    <w:rsid w:val="001A45AC"/>
    <w:rsid w:val="001B60C9"/>
    <w:rsid w:val="001B641B"/>
    <w:rsid w:val="001B6DC2"/>
    <w:rsid w:val="001C03FE"/>
    <w:rsid w:val="001C149C"/>
    <w:rsid w:val="001C21AC"/>
    <w:rsid w:val="001C2247"/>
    <w:rsid w:val="001C2C13"/>
    <w:rsid w:val="001C387B"/>
    <w:rsid w:val="001C47BA"/>
    <w:rsid w:val="001C59EA"/>
    <w:rsid w:val="001D0E06"/>
    <w:rsid w:val="001D1C94"/>
    <w:rsid w:val="001D2D46"/>
    <w:rsid w:val="001D406C"/>
    <w:rsid w:val="001D41EE"/>
    <w:rsid w:val="001D7036"/>
    <w:rsid w:val="001D78E7"/>
    <w:rsid w:val="001E0380"/>
    <w:rsid w:val="001E06BB"/>
    <w:rsid w:val="001E086F"/>
    <w:rsid w:val="001E0CB2"/>
    <w:rsid w:val="001E13B1"/>
    <w:rsid w:val="001E1F88"/>
    <w:rsid w:val="001E66C4"/>
    <w:rsid w:val="001F095A"/>
    <w:rsid w:val="001F11DC"/>
    <w:rsid w:val="001F3A19"/>
    <w:rsid w:val="001F6A67"/>
    <w:rsid w:val="001F6EA3"/>
    <w:rsid w:val="00200DDE"/>
    <w:rsid w:val="002022C3"/>
    <w:rsid w:val="00202CC2"/>
    <w:rsid w:val="00202CE7"/>
    <w:rsid w:val="002054B0"/>
    <w:rsid w:val="00210EDB"/>
    <w:rsid w:val="00217B3C"/>
    <w:rsid w:val="0022045E"/>
    <w:rsid w:val="00220DF3"/>
    <w:rsid w:val="00221E07"/>
    <w:rsid w:val="002222B6"/>
    <w:rsid w:val="00222375"/>
    <w:rsid w:val="00222440"/>
    <w:rsid w:val="002238C8"/>
    <w:rsid w:val="00226637"/>
    <w:rsid w:val="0022759A"/>
    <w:rsid w:val="00230173"/>
    <w:rsid w:val="002317C9"/>
    <w:rsid w:val="002325C2"/>
    <w:rsid w:val="00233697"/>
    <w:rsid w:val="00234467"/>
    <w:rsid w:val="002369B3"/>
    <w:rsid w:val="00237D8D"/>
    <w:rsid w:val="00241DA2"/>
    <w:rsid w:val="00242DCE"/>
    <w:rsid w:val="00243B97"/>
    <w:rsid w:val="002462EE"/>
    <w:rsid w:val="00247800"/>
    <w:rsid w:val="00247FEE"/>
    <w:rsid w:val="002502F1"/>
    <w:rsid w:val="00250E7D"/>
    <w:rsid w:val="00252B90"/>
    <w:rsid w:val="00253452"/>
    <w:rsid w:val="00256416"/>
    <w:rsid w:val="002565D5"/>
    <w:rsid w:val="002611F1"/>
    <w:rsid w:val="002615A1"/>
    <w:rsid w:val="002622C0"/>
    <w:rsid w:val="00262962"/>
    <w:rsid w:val="002631D6"/>
    <w:rsid w:val="00264398"/>
    <w:rsid w:val="002709C6"/>
    <w:rsid w:val="002734DA"/>
    <w:rsid w:val="00274C04"/>
    <w:rsid w:val="00274C96"/>
    <w:rsid w:val="00276E2F"/>
    <w:rsid w:val="002778AE"/>
    <w:rsid w:val="00280686"/>
    <w:rsid w:val="00280D15"/>
    <w:rsid w:val="0028269A"/>
    <w:rsid w:val="00282A8A"/>
    <w:rsid w:val="00283557"/>
    <w:rsid w:val="00283590"/>
    <w:rsid w:val="002838E0"/>
    <w:rsid w:val="00285BDA"/>
    <w:rsid w:val="00286973"/>
    <w:rsid w:val="00290C09"/>
    <w:rsid w:val="00290F04"/>
    <w:rsid w:val="00291768"/>
    <w:rsid w:val="00294E70"/>
    <w:rsid w:val="00297DB9"/>
    <w:rsid w:val="002A06A9"/>
    <w:rsid w:val="002A07E9"/>
    <w:rsid w:val="002A1924"/>
    <w:rsid w:val="002A3068"/>
    <w:rsid w:val="002A3AD7"/>
    <w:rsid w:val="002A582F"/>
    <w:rsid w:val="002A5EA6"/>
    <w:rsid w:val="002A67A1"/>
    <w:rsid w:val="002A7420"/>
    <w:rsid w:val="002B0F12"/>
    <w:rsid w:val="002B1116"/>
    <w:rsid w:val="002B1308"/>
    <w:rsid w:val="002B4554"/>
    <w:rsid w:val="002B5AF4"/>
    <w:rsid w:val="002B635E"/>
    <w:rsid w:val="002B706B"/>
    <w:rsid w:val="002C0278"/>
    <w:rsid w:val="002C4FCC"/>
    <w:rsid w:val="002C5F84"/>
    <w:rsid w:val="002C6981"/>
    <w:rsid w:val="002C6DCC"/>
    <w:rsid w:val="002C72D8"/>
    <w:rsid w:val="002C798D"/>
    <w:rsid w:val="002D11FA"/>
    <w:rsid w:val="002D203B"/>
    <w:rsid w:val="002D2C04"/>
    <w:rsid w:val="002D3ECB"/>
    <w:rsid w:val="002E0709"/>
    <w:rsid w:val="002E0A0B"/>
    <w:rsid w:val="002E0DDF"/>
    <w:rsid w:val="002E0F94"/>
    <w:rsid w:val="002E1C67"/>
    <w:rsid w:val="002E2358"/>
    <w:rsid w:val="002E2906"/>
    <w:rsid w:val="002E4940"/>
    <w:rsid w:val="002E4FD3"/>
    <w:rsid w:val="002E5616"/>
    <w:rsid w:val="002E5635"/>
    <w:rsid w:val="002E64C3"/>
    <w:rsid w:val="002E6A2C"/>
    <w:rsid w:val="002E6EEA"/>
    <w:rsid w:val="002F17D3"/>
    <w:rsid w:val="002F1D8C"/>
    <w:rsid w:val="002F21DA"/>
    <w:rsid w:val="002F2B2A"/>
    <w:rsid w:val="002F2FE6"/>
    <w:rsid w:val="002F5BE7"/>
    <w:rsid w:val="002F5E03"/>
    <w:rsid w:val="002F6940"/>
    <w:rsid w:val="002F6A67"/>
    <w:rsid w:val="00301689"/>
    <w:rsid w:val="00301F39"/>
    <w:rsid w:val="003030F2"/>
    <w:rsid w:val="00303C43"/>
    <w:rsid w:val="0030407D"/>
    <w:rsid w:val="00304FD6"/>
    <w:rsid w:val="0030675D"/>
    <w:rsid w:val="0031082C"/>
    <w:rsid w:val="003142FB"/>
    <w:rsid w:val="003158F1"/>
    <w:rsid w:val="00315A3D"/>
    <w:rsid w:val="003166B1"/>
    <w:rsid w:val="0031725A"/>
    <w:rsid w:val="00317D2B"/>
    <w:rsid w:val="0032463D"/>
    <w:rsid w:val="0032548B"/>
    <w:rsid w:val="00325926"/>
    <w:rsid w:val="003259C0"/>
    <w:rsid w:val="00327A8A"/>
    <w:rsid w:val="00327E8B"/>
    <w:rsid w:val="0033260A"/>
    <w:rsid w:val="0033275E"/>
    <w:rsid w:val="00334948"/>
    <w:rsid w:val="00336610"/>
    <w:rsid w:val="00340E22"/>
    <w:rsid w:val="00341CFD"/>
    <w:rsid w:val="00343F73"/>
    <w:rsid w:val="00345060"/>
    <w:rsid w:val="003472D8"/>
    <w:rsid w:val="00350444"/>
    <w:rsid w:val="00350AF5"/>
    <w:rsid w:val="00350ED8"/>
    <w:rsid w:val="003529BC"/>
    <w:rsid w:val="0035323B"/>
    <w:rsid w:val="00353C93"/>
    <w:rsid w:val="00354E3F"/>
    <w:rsid w:val="0035643C"/>
    <w:rsid w:val="003609D2"/>
    <w:rsid w:val="00363F22"/>
    <w:rsid w:val="0036424C"/>
    <w:rsid w:val="0036525C"/>
    <w:rsid w:val="00367149"/>
    <w:rsid w:val="003678B9"/>
    <w:rsid w:val="00367E5F"/>
    <w:rsid w:val="003703BB"/>
    <w:rsid w:val="003719A4"/>
    <w:rsid w:val="00374998"/>
    <w:rsid w:val="00375564"/>
    <w:rsid w:val="00375BD9"/>
    <w:rsid w:val="00376D06"/>
    <w:rsid w:val="00383191"/>
    <w:rsid w:val="00384568"/>
    <w:rsid w:val="00386DED"/>
    <w:rsid w:val="003911FB"/>
    <w:rsid w:val="003912E7"/>
    <w:rsid w:val="0039191F"/>
    <w:rsid w:val="00391BE3"/>
    <w:rsid w:val="00393038"/>
    <w:rsid w:val="0039317F"/>
    <w:rsid w:val="00393947"/>
    <w:rsid w:val="003957B2"/>
    <w:rsid w:val="00395959"/>
    <w:rsid w:val="00396C92"/>
    <w:rsid w:val="003A121F"/>
    <w:rsid w:val="003A14EC"/>
    <w:rsid w:val="003A20B4"/>
    <w:rsid w:val="003A2275"/>
    <w:rsid w:val="003A342C"/>
    <w:rsid w:val="003A3594"/>
    <w:rsid w:val="003A3AE0"/>
    <w:rsid w:val="003A3B31"/>
    <w:rsid w:val="003A4CF7"/>
    <w:rsid w:val="003A69FD"/>
    <w:rsid w:val="003A6A4F"/>
    <w:rsid w:val="003A7088"/>
    <w:rsid w:val="003A7CBD"/>
    <w:rsid w:val="003B00DF"/>
    <w:rsid w:val="003B1275"/>
    <w:rsid w:val="003B1778"/>
    <w:rsid w:val="003B3206"/>
    <w:rsid w:val="003B5A62"/>
    <w:rsid w:val="003B6B07"/>
    <w:rsid w:val="003B7A15"/>
    <w:rsid w:val="003C0689"/>
    <w:rsid w:val="003C11CB"/>
    <w:rsid w:val="003C2352"/>
    <w:rsid w:val="003C2C19"/>
    <w:rsid w:val="003C3810"/>
    <w:rsid w:val="003C75F3"/>
    <w:rsid w:val="003C78A3"/>
    <w:rsid w:val="003D00E7"/>
    <w:rsid w:val="003D0756"/>
    <w:rsid w:val="003D5EF6"/>
    <w:rsid w:val="003D775A"/>
    <w:rsid w:val="003E1867"/>
    <w:rsid w:val="003E2A27"/>
    <w:rsid w:val="003E3BF8"/>
    <w:rsid w:val="003E3CE6"/>
    <w:rsid w:val="003E5729"/>
    <w:rsid w:val="003E5F00"/>
    <w:rsid w:val="003E669A"/>
    <w:rsid w:val="003F13B7"/>
    <w:rsid w:val="003F297D"/>
    <w:rsid w:val="003F4EE0"/>
    <w:rsid w:val="003F6712"/>
    <w:rsid w:val="003F6A04"/>
    <w:rsid w:val="0040133C"/>
    <w:rsid w:val="00401471"/>
    <w:rsid w:val="004018B6"/>
    <w:rsid w:val="00402153"/>
    <w:rsid w:val="00402391"/>
    <w:rsid w:val="00402FC1"/>
    <w:rsid w:val="00404DA8"/>
    <w:rsid w:val="0040695C"/>
    <w:rsid w:val="00406F89"/>
    <w:rsid w:val="004118E0"/>
    <w:rsid w:val="0041430A"/>
    <w:rsid w:val="0041448A"/>
    <w:rsid w:val="00416300"/>
    <w:rsid w:val="00421B04"/>
    <w:rsid w:val="00421E4E"/>
    <w:rsid w:val="0042316D"/>
    <w:rsid w:val="00425082"/>
    <w:rsid w:val="004259EF"/>
    <w:rsid w:val="00425AA1"/>
    <w:rsid w:val="004262A4"/>
    <w:rsid w:val="0043099C"/>
    <w:rsid w:val="00430A87"/>
    <w:rsid w:val="00431DEB"/>
    <w:rsid w:val="00432E5F"/>
    <w:rsid w:val="00434E55"/>
    <w:rsid w:val="0043698D"/>
    <w:rsid w:val="00437F8D"/>
    <w:rsid w:val="00440F0C"/>
    <w:rsid w:val="00442D2F"/>
    <w:rsid w:val="00443220"/>
    <w:rsid w:val="004434DD"/>
    <w:rsid w:val="00443C3E"/>
    <w:rsid w:val="004455ED"/>
    <w:rsid w:val="0044600B"/>
    <w:rsid w:val="00446B29"/>
    <w:rsid w:val="00446C82"/>
    <w:rsid w:val="00450D32"/>
    <w:rsid w:val="004534F6"/>
    <w:rsid w:val="00453F9A"/>
    <w:rsid w:val="00454F05"/>
    <w:rsid w:val="004562D2"/>
    <w:rsid w:val="0046062C"/>
    <w:rsid w:val="00463901"/>
    <w:rsid w:val="00464C49"/>
    <w:rsid w:val="004664E1"/>
    <w:rsid w:val="0046788F"/>
    <w:rsid w:val="0047032C"/>
    <w:rsid w:val="00470EB0"/>
    <w:rsid w:val="00471E91"/>
    <w:rsid w:val="00474675"/>
    <w:rsid w:val="00474708"/>
    <w:rsid w:val="0047470C"/>
    <w:rsid w:val="00474B05"/>
    <w:rsid w:val="0047751E"/>
    <w:rsid w:val="00482130"/>
    <w:rsid w:val="00485F66"/>
    <w:rsid w:val="00486A76"/>
    <w:rsid w:val="0049095E"/>
    <w:rsid w:val="00491B66"/>
    <w:rsid w:val="00492CC5"/>
    <w:rsid w:val="004A144F"/>
    <w:rsid w:val="004A35F9"/>
    <w:rsid w:val="004A36E7"/>
    <w:rsid w:val="004A3719"/>
    <w:rsid w:val="004A578D"/>
    <w:rsid w:val="004A728C"/>
    <w:rsid w:val="004B2444"/>
    <w:rsid w:val="004B24C1"/>
    <w:rsid w:val="004B4961"/>
    <w:rsid w:val="004B7216"/>
    <w:rsid w:val="004B73FF"/>
    <w:rsid w:val="004C084C"/>
    <w:rsid w:val="004C0D63"/>
    <w:rsid w:val="004C133F"/>
    <w:rsid w:val="004C292F"/>
    <w:rsid w:val="004C45E0"/>
    <w:rsid w:val="004C5001"/>
    <w:rsid w:val="004C7370"/>
    <w:rsid w:val="004C7409"/>
    <w:rsid w:val="004C7551"/>
    <w:rsid w:val="004C7D6A"/>
    <w:rsid w:val="004D200D"/>
    <w:rsid w:val="004D2B0F"/>
    <w:rsid w:val="004D3079"/>
    <w:rsid w:val="004D526A"/>
    <w:rsid w:val="004D543C"/>
    <w:rsid w:val="004D70D1"/>
    <w:rsid w:val="004E0B3C"/>
    <w:rsid w:val="004E0F04"/>
    <w:rsid w:val="004E1747"/>
    <w:rsid w:val="004E1E4B"/>
    <w:rsid w:val="004E2CC1"/>
    <w:rsid w:val="004F09E7"/>
    <w:rsid w:val="004F2232"/>
    <w:rsid w:val="004F231F"/>
    <w:rsid w:val="004F2E41"/>
    <w:rsid w:val="004F3811"/>
    <w:rsid w:val="005010C1"/>
    <w:rsid w:val="00503BCB"/>
    <w:rsid w:val="00503F97"/>
    <w:rsid w:val="00510280"/>
    <w:rsid w:val="0051192B"/>
    <w:rsid w:val="0051213C"/>
    <w:rsid w:val="00513D73"/>
    <w:rsid w:val="00514A43"/>
    <w:rsid w:val="005174E5"/>
    <w:rsid w:val="00517D62"/>
    <w:rsid w:val="005205D4"/>
    <w:rsid w:val="00520601"/>
    <w:rsid w:val="00521E7A"/>
    <w:rsid w:val="00522393"/>
    <w:rsid w:val="00522620"/>
    <w:rsid w:val="00524B9E"/>
    <w:rsid w:val="00525656"/>
    <w:rsid w:val="00526058"/>
    <w:rsid w:val="00526B13"/>
    <w:rsid w:val="005311E0"/>
    <w:rsid w:val="00532B6D"/>
    <w:rsid w:val="00534C02"/>
    <w:rsid w:val="00536ABE"/>
    <w:rsid w:val="0054264B"/>
    <w:rsid w:val="0054292A"/>
    <w:rsid w:val="00543786"/>
    <w:rsid w:val="00545C5B"/>
    <w:rsid w:val="005466F1"/>
    <w:rsid w:val="0054707D"/>
    <w:rsid w:val="00547110"/>
    <w:rsid w:val="005473B3"/>
    <w:rsid w:val="0055073C"/>
    <w:rsid w:val="005518D9"/>
    <w:rsid w:val="005522F0"/>
    <w:rsid w:val="005522F3"/>
    <w:rsid w:val="00552744"/>
    <w:rsid w:val="00552B4B"/>
    <w:rsid w:val="005533D7"/>
    <w:rsid w:val="00553839"/>
    <w:rsid w:val="005549C2"/>
    <w:rsid w:val="00555EE5"/>
    <w:rsid w:val="005563AD"/>
    <w:rsid w:val="005567E7"/>
    <w:rsid w:val="00556F54"/>
    <w:rsid w:val="005612B6"/>
    <w:rsid w:val="00565B3A"/>
    <w:rsid w:val="005703DE"/>
    <w:rsid w:val="005707D2"/>
    <w:rsid w:val="0057613B"/>
    <w:rsid w:val="00580583"/>
    <w:rsid w:val="00580655"/>
    <w:rsid w:val="00582A44"/>
    <w:rsid w:val="00582D35"/>
    <w:rsid w:val="0058464E"/>
    <w:rsid w:val="005864E8"/>
    <w:rsid w:val="005878B4"/>
    <w:rsid w:val="005912B1"/>
    <w:rsid w:val="00591645"/>
    <w:rsid w:val="00591CA1"/>
    <w:rsid w:val="00594031"/>
    <w:rsid w:val="00594590"/>
    <w:rsid w:val="00596871"/>
    <w:rsid w:val="005A0183"/>
    <w:rsid w:val="005A01CB"/>
    <w:rsid w:val="005A23A1"/>
    <w:rsid w:val="005A3422"/>
    <w:rsid w:val="005A58FF"/>
    <w:rsid w:val="005A5EAF"/>
    <w:rsid w:val="005A64C0"/>
    <w:rsid w:val="005B2648"/>
    <w:rsid w:val="005B356D"/>
    <w:rsid w:val="005B3C11"/>
    <w:rsid w:val="005B774B"/>
    <w:rsid w:val="005C11F6"/>
    <w:rsid w:val="005C1C28"/>
    <w:rsid w:val="005C25BA"/>
    <w:rsid w:val="005C2B6B"/>
    <w:rsid w:val="005C3123"/>
    <w:rsid w:val="005C447C"/>
    <w:rsid w:val="005C6141"/>
    <w:rsid w:val="005C623E"/>
    <w:rsid w:val="005C664E"/>
    <w:rsid w:val="005C68EA"/>
    <w:rsid w:val="005C6DB5"/>
    <w:rsid w:val="005C7CFD"/>
    <w:rsid w:val="005D196E"/>
    <w:rsid w:val="005D2565"/>
    <w:rsid w:val="005D38E0"/>
    <w:rsid w:val="005E04E7"/>
    <w:rsid w:val="005E19E7"/>
    <w:rsid w:val="005E3B57"/>
    <w:rsid w:val="005E45F8"/>
    <w:rsid w:val="005E62EA"/>
    <w:rsid w:val="005F0738"/>
    <w:rsid w:val="005F4F50"/>
    <w:rsid w:val="005F5273"/>
    <w:rsid w:val="005F54DB"/>
    <w:rsid w:val="005F6EDC"/>
    <w:rsid w:val="005F70AC"/>
    <w:rsid w:val="00601B14"/>
    <w:rsid w:val="00604B2B"/>
    <w:rsid w:val="00606033"/>
    <w:rsid w:val="00613967"/>
    <w:rsid w:val="0061451F"/>
    <w:rsid w:val="00614ED1"/>
    <w:rsid w:val="00616CC2"/>
    <w:rsid w:val="0061716C"/>
    <w:rsid w:val="0061797E"/>
    <w:rsid w:val="00621B72"/>
    <w:rsid w:val="00623BC1"/>
    <w:rsid w:val="006243A1"/>
    <w:rsid w:val="006244FB"/>
    <w:rsid w:val="00625BF1"/>
    <w:rsid w:val="00626024"/>
    <w:rsid w:val="006328B0"/>
    <w:rsid w:val="00632E56"/>
    <w:rsid w:val="006330EB"/>
    <w:rsid w:val="00633CB2"/>
    <w:rsid w:val="006344B7"/>
    <w:rsid w:val="00635CBA"/>
    <w:rsid w:val="00636CFD"/>
    <w:rsid w:val="00636D26"/>
    <w:rsid w:val="00642C2F"/>
    <w:rsid w:val="006430DF"/>
    <w:rsid w:val="00643191"/>
    <w:rsid w:val="006431E4"/>
    <w:rsid w:val="0064338B"/>
    <w:rsid w:val="00645E34"/>
    <w:rsid w:val="0064618E"/>
    <w:rsid w:val="00646542"/>
    <w:rsid w:val="006504F4"/>
    <w:rsid w:val="00651F38"/>
    <w:rsid w:val="0065483D"/>
    <w:rsid w:val="00654BC9"/>
    <w:rsid w:val="006552FD"/>
    <w:rsid w:val="00656F8B"/>
    <w:rsid w:val="00663AF3"/>
    <w:rsid w:val="00666B6C"/>
    <w:rsid w:val="00666E94"/>
    <w:rsid w:val="0067014B"/>
    <w:rsid w:val="006739C9"/>
    <w:rsid w:val="0067455F"/>
    <w:rsid w:val="00682682"/>
    <w:rsid w:val="00682702"/>
    <w:rsid w:val="00683181"/>
    <w:rsid w:val="00686E06"/>
    <w:rsid w:val="006876E7"/>
    <w:rsid w:val="00687D87"/>
    <w:rsid w:val="006909BC"/>
    <w:rsid w:val="00692368"/>
    <w:rsid w:val="00693C7C"/>
    <w:rsid w:val="006953B7"/>
    <w:rsid w:val="00695446"/>
    <w:rsid w:val="00696050"/>
    <w:rsid w:val="00696E4D"/>
    <w:rsid w:val="00697B1A"/>
    <w:rsid w:val="006A2145"/>
    <w:rsid w:val="006A2926"/>
    <w:rsid w:val="006A2EBC"/>
    <w:rsid w:val="006A322E"/>
    <w:rsid w:val="006A37FA"/>
    <w:rsid w:val="006A54B7"/>
    <w:rsid w:val="006A5BCF"/>
    <w:rsid w:val="006A5EA0"/>
    <w:rsid w:val="006A6571"/>
    <w:rsid w:val="006A66C0"/>
    <w:rsid w:val="006A6A3C"/>
    <w:rsid w:val="006A783B"/>
    <w:rsid w:val="006A78F4"/>
    <w:rsid w:val="006A7B33"/>
    <w:rsid w:val="006B0688"/>
    <w:rsid w:val="006B396E"/>
    <w:rsid w:val="006B46F1"/>
    <w:rsid w:val="006B4AAF"/>
    <w:rsid w:val="006B4E13"/>
    <w:rsid w:val="006B5AC0"/>
    <w:rsid w:val="006B6F89"/>
    <w:rsid w:val="006B75DD"/>
    <w:rsid w:val="006C0623"/>
    <w:rsid w:val="006C0E6C"/>
    <w:rsid w:val="006C2058"/>
    <w:rsid w:val="006C4583"/>
    <w:rsid w:val="006C67E0"/>
    <w:rsid w:val="006C7ABA"/>
    <w:rsid w:val="006D0D60"/>
    <w:rsid w:val="006D0E6E"/>
    <w:rsid w:val="006D1122"/>
    <w:rsid w:val="006D1B18"/>
    <w:rsid w:val="006D20A7"/>
    <w:rsid w:val="006D252F"/>
    <w:rsid w:val="006D2B35"/>
    <w:rsid w:val="006D2C00"/>
    <w:rsid w:val="006D3C00"/>
    <w:rsid w:val="006D3D98"/>
    <w:rsid w:val="006D5759"/>
    <w:rsid w:val="006E21AC"/>
    <w:rsid w:val="006E3675"/>
    <w:rsid w:val="006E3B2F"/>
    <w:rsid w:val="006E4A7F"/>
    <w:rsid w:val="006F060B"/>
    <w:rsid w:val="006F1D6D"/>
    <w:rsid w:val="006F2262"/>
    <w:rsid w:val="006F3473"/>
    <w:rsid w:val="006F4461"/>
    <w:rsid w:val="006F4DD8"/>
    <w:rsid w:val="00700B55"/>
    <w:rsid w:val="00700CB3"/>
    <w:rsid w:val="00704DF6"/>
    <w:rsid w:val="007051D9"/>
    <w:rsid w:val="0070651C"/>
    <w:rsid w:val="007073A6"/>
    <w:rsid w:val="00712BB6"/>
    <w:rsid w:val="007132A3"/>
    <w:rsid w:val="0071361C"/>
    <w:rsid w:val="007145FA"/>
    <w:rsid w:val="007147EA"/>
    <w:rsid w:val="00714939"/>
    <w:rsid w:val="00715013"/>
    <w:rsid w:val="00716421"/>
    <w:rsid w:val="00717ACB"/>
    <w:rsid w:val="00724EFB"/>
    <w:rsid w:val="00726AF2"/>
    <w:rsid w:val="00726C61"/>
    <w:rsid w:val="007278B7"/>
    <w:rsid w:val="00727B82"/>
    <w:rsid w:val="00730F11"/>
    <w:rsid w:val="00734CF3"/>
    <w:rsid w:val="00734DDC"/>
    <w:rsid w:val="007351D8"/>
    <w:rsid w:val="00736341"/>
    <w:rsid w:val="00736F85"/>
    <w:rsid w:val="007377C7"/>
    <w:rsid w:val="007419C3"/>
    <w:rsid w:val="00741F6C"/>
    <w:rsid w:val="00743A07"/>
    <w:rsid w:val="00743ECA"/>
    <w:rsid w:val="007466A8"/>
    <w:rsid w:val="007467A7"/>
    <w:rsid w:val="007469DD"/>
    <w:rsid w:val="0074741B"/>
    <w:rsid w:val="0074759E"/>
    <w:rsid w:val="007478EA"/>
    <w:rsid w:val="007502D3"/>
    <w:rsid w:val="0075415C"/>
    <w:rsid w:val="007555AB"/>
    <w:rsid w:val="0075730E"/>
    <w:rsid w:val="00760D29"/>
    <w:rsid w:val="00761355"/>
    <w:rsid w:val="00761873"/>
    <w:rsid w:val="00763502"/>
    <w:rsid w:val="007643D3"/>
    <w:rsid w:val="007657EA"/>
    <w:rsid w:val="007658CE"/>
    <w:rsid w:val="0077112D"/>
    <w:rsid w:val="007729D8"/>
    <w:rsid w:val="0077338B"/>
    <w:rsid w:val="00775F88"/>
    <w:rsid w:val="00782293"/>
    <w:rsid w:val="0078287B"/>
    <w:rsid w:val="0078706D"/>
    <w:rsid w:val="007913AB"/>
    <w:rsid w:val="007914F7"/>
    <w:rsid w:val="0079242B"/>
    <w:rsid w:val="00793DB6"/>
    <w:rsid w:val="00795DCC"/>
    <w:rsid w:val="007A1096"/>
    <w:rsid w:val="007A35FA"/>
    <w:rsid w:val="007A3684"/>
    <w:rsid w:val="007B0D58"/>
    <w:rsid w:val="007B1625"/>
    <w:rsid w:val="007B1C03"/>
    <w:rsid w:val="007B247B"/>
    <w:rsid w:val="007B706E"/>
    <w:rsid w:val="007B71EB"/>
    <w:rsid w:val="007C2B77"/>
    <w:rsid w:val="007C367E"/>
    <w:rsid w:val="007C5283"/>
    <w:rsid w:val="007C6205"/>
    <w:rsid w:val="007C686A"/>
    <w:rsid w:val="007C728E"/>
    <w:rsid w:val="007C7C03"/>
    <w:rsid w:val="007D00A0"/>
    <w:rsid w:val="007D263E"/>
    <w:rsid w:val="007D2C53"/>
    <w:rsid w:val="007D2EDC"/>
    <w:rsid w:val="007D339C"/>
    <w:rsid w:val="007D3D60"/>
    <w:rsid w:val="007D537B"/>
    <w:rsid w:val="007E1980"/>
    <w:rsid w:val="007E2FD2"/>
    <w:rsid w:val="007E48C4"/>
    <w:rsid w:val="007E4B76"/>
    <w:rsid w:val="007E52A1"/>
    <w:rsid w:val="007E5BF7"/>
    <w:rsid w:val="007E5EA8"/>
    <w:rsid w:val="007F0CF1"/>
    <w:rsid w:val="007F12A5"/>
    <w:rsid w:val="007F40D5"/>
    <w:rsid w:val="007F4CF1"/>
    <w:rsid w:val="007F4ECA"/>
    <w:rsid w:val="007F72A6"/>
    <w:rsid w:val="007F758D"/>
    <w:rsid w:val="007F7B7D"/>
    <w:rsid w:val="007F7D52"/>
    <w:rsid w:val="0080343F"/>
    <w:rsid w:val="0080654C"/>
    <w:rsid w:val="008071C6"/>
    <w:rsid w:val="008100A8"/>
    <w:rsid w:val="00810918"/>
    <w:rsid w:val="00810E40"/>
    <w:rsid w:val="00812A70"/>
    <w:rsid w:val="00815517"/>
    <w:rsid w:val="0081552C"/>
    <w:rsid w:val="00816DBC"/>
    <w:rsid w:val="00817A00"/>
    <w:rsid w:val="00822EB5"/>
    <w:rsid w:val="00826BFA"/>
    <w:rsid w:val="00827E16"/>
    <w:rsid w:val="0083035B"/>
    <w:rsid w:val="00832D46"/>
    <w:rsid w:val="00833DBB"/>
    <w:rsid w:val="00835DB3"/>
    <w:rsid w:val="0083617B"/>
    <w:rsid w:val="008361C3"/>
    <w:rsid w:val="00836AE8"/>
    <w:rsid w:val="008371BD"/>
    <w:rsid w:val="0083776F"/>
    <w:rsid w:val="00842C96"/>
    <w:rsid w:val="0084377C"/>
    <w:rsid w:val="00844E83"/>
    <w:rsid w:val="008458DE"/>
    <w:rsid w:val="00845FE8"/>
    <w:rsid w:val="00847EE3"/>
    <w:rsid w:val="008504A8"/>
    <w:rsid w:val="00850A8D"/>
    <w:rsid w:val="00850BB6"/>
    <w:rsid w:val="0085282E"/>
    <w:rsid w:val="00853166"/>
    <w:rsid w:val="008546E2"/>
    <w:rsid w:val="00854A3B"/>
    <w:rsid w:val="00854DF4"/>
    <w:rsid w:val="008550A4"/>
    <w:rsid w:val="00855EB6"/>
    <w:rsid w:val="0086354D"/>
    <w:rsid w:val="008649B1"/>
    <w:rsid w:val="008701A1"/>
    <w:rsid w:val="0087198C"/>
    <w:rsid w:val="00872C1F"/>
    <w:rsid w:val="00873B42"/>
    <w:rsid w:val="00873EC0"/>
    <w:rsid w:val="008743AE"/>
    <w:rsid w:val="0087482B"/>
    <w:rsid w:val="0087560D"/>
    <w:rsid w:val="00877120"/>
    <w:rsid w:val="008774AC"/>
    <w:rsid w:val="0087771B"/>
    <w:rsid w:val="00882333"/>
    <w:rsid w:val="00882CFA"/>
    <w:rsid w:val="008856D8"/>
    <w:rsid w:val="00887208"/>
    <w:rsid w:val="00890251"/>
    <w:rsid w:val="00890BA2"/>
    <w:rsid w:val="00892425"/>
    <w:rsid w:val="00892E82"/>
    <w:rsid w:val="008950C6"/>
    <w:rsid w:val="00895BCF"/>
    <w:rsid w:val="00896126"/>
    <w:rsid w:val="0089632A"/>
    <w:rsid w:val="008A0BB6"/>
    <w:rsid w:val="008A2161"/>
    <w:rsid w:val="008A2B4D"/>
    <w:rsid w:val="008A2D3D"/>
    <w:rsid w:val="008A3CAE"/>
    <w:rsid w:val="008B132E"/>
    <w:rsid w:val="008B365A"/>
    <w:rsid w:val="008B6351"/>
    <w:rsid w:val="008C1604"/>
    <w:rsid w:val="008C1B58"/>
    <w:rsid w:val="008C272D"/>
    <w:rsid w:val="008C2DD6"/>
    <w:rsid w:val="008C39AE"/>
    <w:rsid w:val="008C590D"/>
    <w:rsid w:val="008C5BB4"/>
    <w:rsid w:val="008C74BC"/>
    <w:rsid w:val="008D01F7"/>
    <w:rsid w:val="008D1A61"/>
    <w:rsid w:val="008D3645"/>
    <w:rsid w:val="008D3688"/>
    <w:rsid w:val="008D4BAE"/>
    <w:rsid w:val="008E031B"/>
    <w:rsid w:val="008E2057"/>
    <w:rsid w:val="008E4D69"/>
    <w:rsid w:val="008E5622"/>
    <w:rsid w:val="008E7029"/>
    <w:rsid w:val="008E7636"/>
    <w:rsid w:val="008E7928"/>
    <w:rsid w:val="008E7BE0"/>
    <w:rsid w:val="008E7EF6"/>
    <w:rsid w:val="008F1F98"/>
    <w:rsid w:val="008F22BB"/>
    <w:rsid w:val="008F2C02"/>
    <w:rsid w:val="008F3342"/>
    <w:rsid w:val="008F58DF"/>
    <w:rsid w:val="008F5D37"/>
    <w:rsid w:val="008F61F0"/>
    <w:rsid w:val="008F6758"/>
    <w:rsid w:val="008F6DDC"/>
    <w:rsid w:val="0090126E"/>
    <w:rsid w:val="00902E30"/>
    <w:rsid w:val="009040DD"/>
    <w:rsid w:val="00905B47"/>
    <w:rsid w:val="0090680F"/>
    <w:rsid w:val="009105BF"/>
    <w:rsid w:val="00912BE8"/>
    <w:rsid w:val="00912F9B"/>
    <w:rsid w:val="0091331C"/>
    <w:rsid w:val="009162CB"/>
    <w:rsid w:val="00916626"/>
    <w:rsid w:val="00916C8A"/>
    <w:rsid w:val="009221D7"/>
    <w:rsid w:val="009238E2"/>
    <w:rsid w:val="009238FE"/>
    <w:rsid w:val="009279DE"/>
    <w:rsid w:val="00930116"/>
    <w:rsid w:val="00934AFE"/>
    <w:rsid w:val="0093627B"/>
    <w:rsid w:val="00936A49"/>
    <w:rsid w:val="0094212C"/>
    <w:rsid w:val="00942CE5"/>
    <w:rsid w:val="00943CDD"/>
    <w:rsid w:val="00944288"/>
    <w:rsid w:val="00945D33"/>
    <w:rsid w:val="00946153"/>
    <w:rsid w:val="00946CBE"/>
    <w:rsid w:val="00946D89"/>
    <w:rsid w:val="00946FF6"/>
    <w:rsid w:val="00950815"/>
    <w:rsid w:val="0095101F"/>
    <w:rsid w:val="00954689"/>
    <w:rsid w:val="00954A18"/>
    <w:rsid w:val="00956747"/>
    <w:rsid w:val="009617C9"/>
    <w:rsid w:val="00961C93"/>
    <w:rsid w:val="00962DFE"/>
    <w:rsid w:val="00965324"/>
    <w:rsid w:val="00966E81"/>
    <w:rsid w:val="00967E47"/>
    <w:rsid w:val="0097091E"/>
    <w:rsid w:val="009760D3"/>
    <w:rsid w:val="00977132"/>
    <w:rsid w:val="0097770E"/>
    <w:rsid w:val="00981A4B"/>
    <w:rsid w:val="00982501"/>
    <w:rsid w:val="0098379D"/>
    <w:rsid w:val="009847D7"/>
    <w:rsid w:val="00984E44"/>
    <w:rsid w:val="0098687B"/>
    <w:rsid w:val="0098728A"/>
    <w:rsid w:val="009877D3"/>
    <w:rsid w:val="009879A5"/>
    <w:rsid w:val="00991321"/>
    <w:rsid w:val="00994E8F"/>
    <w:rsid w:val="009951DC"/>
    <w:rsid w:val="009959BB"/>
    <w:rsid w:val="0099690E"/>
    <w:rsid w:val="009969EF"/>
    <w:rsid w:val="00996B1F"/>
    <w:rsid w:val="00996C87"/>
    <w:rsid w:val="00996E04"/>
    <w:rsid w:val="00997158"/>
    <w:rsid w:val="009A0B6C"/>
    <w:rsid w:val="009A1107"/>
    <w:rsid w:val="009A1476"/>
    <w:rsid w:val="009A16E4"/>
    <w:rsid w:val="009A1F4B"/>
    <w:rsid w:val="009A2D30"/>
    <w:rsid w:val="009A3A7C"/>
    <w:rsid w:val="009A5B46"/>
    <w:rsid w:val="009A6CA9"/>
    <w:rsid w:val="009B02A7"/>
    <w:rsid w:val="009B2AA2"/>
    <w:rsid w:val="009B2ADB"/>
    <w:rsid w:val="009B2F4F"/>
    <w:rsid w:val="009B603A"/>
    <w:rsid w:val="009C0C4C"/>
    <w:rsid w:val="009C148C"/>
    <w:rsid w:val="009C2A94"/>
    <w:rsid w:val="009C2D0E"/>
    <w:rsid w:val="009C3DAC"/>
    <w:rsid w:val="009C42E0"/>
    <w:rsid w:val="009C5FA7"/>
    <w:rsid w:val="009D1CF8"/>
    <w:rsid w:val="009D5362"/>
    <w:rsid w:val="009E0CEA"/>
    <w:rsid w:val="009E1415"/>
    <w:rsid w:val="009E1508"/>
    <w:rsid w:val="009E3452"/>
    <w:rsid w:val="009E6116"/>
    <w:rsid w:val="009F0C84"/>
    <w:rsid w:val="009F0EFF"/>
    <w:rsid w:val="009F28B4"/>
    <w:rsid w:val="009F38FC"/>
    <w:rsid w:val="009F4F8E"/>
    <w:rsid w:val="009F7705"/>
    <w:rsid w:val="009F7809"/>
    <w:rsid w:val="009F7D9C"/>
    <w:rsid w:val="00A003EF"/>
    <w:rsid w:val="00A01264"/>
    <w:rsid w:val="00A02179"/>
    <w:rsid w:val="00A02E00"/>
    <w:rsid w:val="00A02E43"/>
    <w:rsid w:val="00A05261"/>
    <w:rsid w:val="00A05B16"/>
    <w:rsid w:val="00A060B1"/>
    <w:rsid w:val="00A065F9"/>
    <w:rsid w:val="00A066D9"/>
    <w:rsid w:val="00A07A28"/>
    <w:rsid w:val="00A07F34"/>
    <w:rsid w:val="00A107B8"/>
    <w:rsid w:val="00A116F6"/>
    <w:rsid w:val="00A13843"/>
    <w:rsid w:val="00A140EE"/>
    <w:rsid w:val="00A15F64"/>
    <w:rsid w:val="00A217A4"/>
    <w:rsid w:val="00A22154"/>
    <w:rsid w:val="00A23126"/>
    <w:rsid w:val="00A2367C"/>
    <w:rsid w:val="00A2398F"/>
    <w:rsid w:val="00A23AFA"/>
    <w:rsid w:val="00A25C38"/>
    <w:rsid w:val="00A274DC"/>
    <w:rsid w:val="00A326D9"/>
    <w:rsid w:val="00A32754"/>
    <w:rsid w:val="00A3275C"/>
    <w:rsid w:val="00A32C2C"/>
    <w:rsid w:val="00A33ACC"/>
    <w:rsid w:val="00A33C36"/>
    <w:rsid w:val="00A36BBE"/>
    <w:rsid w:val="00A4272A"/>
    <w:rsid w:val="00A429A7"/>
    <w:rsid w:val="00A4307A"/>
    <w:rsid w:val="00A457A9"/>
    <w:rsid w:val="00A46149"/>
    <w:rsid w:val="00A47EBB"/>
    <w:rsid w:val="00A51193"/>
    <w:rsid w:val="00A51CDD"/>
    <w:rsid w:val="00A521D6"/>
    <w:rsid w:val="00A53022"/>
    <w:rsid w:val="00A5645F"/>
    <w:rsid w:val="00A566FF"/>
    <w:rsid w:val="00A603F2"/>
    <w:rsid w:val="00A60B67"/>
    <w:rsid w:val="00A60EEE"/>
    <w:rsid w:val="00A60F51"/>
    <w:rsid w:val="00A64FE7"/>
    <w:rsid w:val="00A6649B"/>
    <w:rsid w:val="00A6667A"/>
    <w:rsid w:val="00A66719"/>
    <w:rsid w:val="00A669D0"/>
    <w:rsid w:val="00A6730D"/>
    <w:rsid w:val="00A67B80"/>
    <w:rsid w:val="00A700D2"/>
    <w:rsid w:val="00A7150A"/>
    <w:rsid w:val="00A71625"/>
    <w:rsid w:val="00A71B9B"/>
    <w:rsid w:val="00A72937"/>
    <w:rsid w:val="00A72FE2"/>
    <w:rsid w:val="00A751C7"/>
    <w:rsid w:val="00A753B5"/>
    <w:rsid w:val="00A75B79"/>
    <w:rsid w:val="00A761F4"/>
    <w:rsid w:val="00A77C5A"/>
    <w:rsid w:val="00A82133"/>
    <w:rsid w:val="00A822CD"/>
    <w:rsid w:val="00A83A62"/>
    <w:rsid w:val="00A85720"/>
    <w:rsid w:val="00A858F2"/>
    <w:rsid w:val="00A85D30"/>
    <w:rsid w:val="00A869A1"/>
    <w:rsid w:val="00A87844"/>
    <w:rsid w:val="00A879E2"/>
    <w:rsid w:val="00A946C9"/>
    <w:rsid w:val="00A94B9D"/>
    <w:rsid w:val="00A970B0"/>
    <w:rsid w:val="00A977EA"/>
    <w:rsid w:val="00AA038C"/>
    <w:rsid w:val="00AA1949"/>
    <w:rsid w:val="00AA2AE5"/>
    <w:rsid w:val="00AA3ADC"/>
    <w:rsid w:val="00AA4540"/>
    <w:rsid w:val="00AA510A"/>
    <w:rsid w:val="00AA5C4B"/>
    <w:rsid w:val="00AA618E"/>
    <w:rsid w:val="00AA7185"/>
    <w:rsid w:val="00AA7A09"/>
    <w:rsid w:val="00AB11F4"/>
    <w:rsid w:val="00AB12A3"/>
    <w:rsid w:val="00AB3875"/>
    <w:rsid w:val="00AB3B50"/>
    <w:rsid w:val="00AC003F"/>
    <w:rsid w:val="00AC05B1"/>
    <w:rsid w:val="00AC41D7"/>
    <w:rsid w:val="00AC5B54"/>
    <w:rsid w:val="00AC69B0"/>
    <w:rsid w:val="00AD13B0"/>
    <w:rsid w:val="00AD19C9"/>
    <w:rsid w:val="00AD1C4B"/>
    <w:rsid w:val="00AD356C"/>
    <w:rsid w:val="00AD4107"/>
    <w:rsid w:val="00AD45BE"/>
    <w:rsid w:val="00AD5276"/>
    <w:rsid w:val="00AD593C"/>
    <w:rsid w:val="00AD669B"/>
    <w:rsid w:val="00AE0DB1"/>
    <w:rsid w:val="00AE0E9D"/>
    <w:rsid w:val="00AE2914"/>
    <w:rsid w:val="00AE30DC"/>
    <w:rsid w:val="00AE472A"/>
    <w:rsid w:val="00AE6D15"/>
    <w:rsid w:val="00AF5B6A"/>
    <w:rsid w:val="00AF6BF5"/>
    <w:rsid w:val="00B00DC7"/>
    <w:rsid w:val="00B0139F"/>
    <w:rsid w:val="00B04182"/>
    <w:rsid w:val="00B07AE3"/>
    <w:rsid w:val="00B10323"/>
    <w:rsid w:val="00B11281"/>
    <w:rsid w:val="00B11430"/>
    <w:rsid w:val="00B15CC3"/>
    <w:rsid w:val="00B2015C"/>
    <w:rsid w:val="00B203AD"/>
    <w:rsid w:val="00B2264D"/>
    <w:rsid w:val="00B2393A"/>
    <w:rsid w:val="00B2398D"/>
    <w:rsid w:val="00B25114"/>
    <w:rsid w:val="00B25DC5"/>
    <w:rsid w:val="00B262D5"/>
    <w:rsid w:val="00B26C59"/>
    <w:rsid w:val="00B31318"/>
    <w:rsid w:val="00B3195E"/>
    <w:rsid w:val="00B353EB"/>
    <w:rsid w:val="00B35C62"/>
    <w:rsid w:val="00B36005"/>
    <w:rsid w:val="00B42E5F"/>
    <w:rsid w:val="00B433AE"/>
    <w:rsid w:val="00B43923"/>
    <w:rsid w:val="00B439C4"/>
    <w:rsid w:val="00B44290"/>
    <w:rsid w:val="00B4535E"/>
    <w:rsid w:val="00B45884"/>
    <w:rsid w:val="00B45AC7"/>
    <w:rsid w:val="00B47D5A"/>
    <w:rsid w:val="00B525DF"/>
    <w:rsid w:val="00B52A8C"/>
    <w:rsid w:val="00B546D2"/>
    <w:rsid w:val="00B54CBA"/>
    <w:rsid w:val="00B56B32"/>
    <w:rsid w:val="00B57512"/>
    <w:rsid w:val="00B57A10"/>
    <w:rsid w:val="00B57E4A"/>
    <w:rsid w:val="00B610C2"/>
    <w:rsid w:val="00B62027"/>
    <w:rsid w:val="00B63147"/>
    <w:rsid w:val="00B631A0"/>
    <w:rsid w:val="00B63212"/>
    <w:rsid w:val="00B636A8"/>
    <w:rsid w:val="00B63712"/>
    <w:rsid w:val="00B63DDE"/>
    <w:rsid w:val="00B652B4"/>
    <w:rsid w:val="00B65C1F"/>
    <w:rsid w:val="00B660A7"/>
    <w:rsid w:val="00B665C6"/>
    <w:rsid w:val="00B72905"/>
    <w:rsid w:val="00B7585A"/>
    <w:rsid w:val="00B8034F"/>
    <w:rsid w:val="00B805AF"/>
    <w:rsid w:val="00B81890"/>
    <w:rsid w:val="00B84F03"/>
    <w:rsid w:val="00B85085"/>
    <w:rsid w:val="00B856D4"/>
    <w:rsid w:val="00B85A1E"/>
    <w:rsid w:val="00B85D29"/>
    <w:rsid w:val="00B869EC"/>
    <w:rsid w:val="00B91720"/>
    <w:rsid w:val="00B9397A"/>
    <w:rsid w:val="00B9633D"/>
    <w:rsid w:val="00BA28D7"/>
    <w:rsid w:val="00BA2EBE"/>
    <w:rsid w:val="00BB0D83"/>
    <w:rsid w:val="00BB0F28"/>
    <w:rsid w:val="00BB11C4"/>
    <w:rsid w:val="00BB432F"/>
    <w:rsid w:val="00BB458A"/>
    <w:rsid w:val="00BB706F"/>
    <w:rsid w:val="00BC4A39"/>
    <w:rsid w:val="00BC50A4"/>
    <w:rsid w:val="00BC5911"/>
    <w:rsid w:val="00BD00D3"/>
    <w:rsid w:val="00BD09CD"/>
    <w:rsid w:val="00BD1659"/>
    <w:rsid w:val="00BD1D78"/>
    <w:rsid w:val="00BD22EB"/>
    <w:rsid w:val="00BD27C1"/>
    <w:rsid w:val="00BD27F6"/>
    <w:rsid w:val="00BD3AA9"/>
    <w:rsid w:val="00BD4A18"/>
    <w:rsid w:val="00BD52E6"/>
    <w:rsid w:val="00BD5DBE"/>
    <w:rsid w:val="00BD6DB2"/>
    <w:rsid w:val="00BD7119"/>
    <w:rsid w:val="00BE040D"/>
    <w:rsid w:val="00BE11CF"/>
    <w:rsid w:val="00BE21AB"/>
    <w:rsid w:val="00BE242B"/>
    <w:rsid w:val="00BE39D3"/>
    <w:rsid w:val="00BE497E"/>
    <w:rsid w:val="00BE51EF"/>
    <w:rsid w:val="00BE52CC"/>
    <w:rsid w:val="00BE55CB"/>
    <w:rsid w:val="00BE5B2F"/>
    <w:rsid w:val="00BE7BFC"/>
    <w:rsid w:val="00BF06A8"/>
    <w:rsid w:val="00BF1A96"/>
    <w:rsid w:val="00BF33CF"/>
    <w:rsid w:val="00BF4920"/>
    <w:rsid w:val="00BF54D7"/>
    <w:rsid w:val="00BF5FF1"/>
    <w:rsid w:val="00BF617A"/>
    <w:rsid w:val="00BF6445"/>
    <w:rsid w:val="00BF67FB"/>
    <w:rsid w:val="00BF6B97"/>
    <w:rsid w:val="00C00AB7"/>
    <w:rsid w:val="00C02455"/>
    <w:rsid w:val="00C02916"/>
    <w:rsid w:val="00C02E1A"/>
    <w:rsid w:val="00C0379D"/>
    <w:rsid w:val="00C03931"/>
    <w:rsid w:val="00C05FE3"/>
    <w:rsid w:val="00C0760E"/>
    <w:rsid w:val="00C1177D"/>
    <w:rsid w:val="00C13AEA"/>
    <w:rsid w:val="00C14E1F"/>
    <w:rsid w:val="00C1630C"/>
    <w:rsid w:val="00C17931"/>
    <w:rsid w:val="00C20EE8"/>
    <w:rsid w:val="00C2136D"/>
    <w:rsid w:val="00C214EE"/>
    <w:rsid w:val="00C215B2"/>
    <w:rsid w:val="00C219BD"/>
    <w:rsid w:val="00C2314B"/>
    <w:rsid w:val="00C24971"/>
    <w:rsid w:val="00C25391"/>
    <w:rsid w:val="00C26BE5"/>
    <w:rsid w:val="00C26C2F"/>
    <w:rsid w:val="00C26E4D"/>
    <w:rsid w:val="00C273AC"/>
    <w:rsid w:val="00C27893"/>
    <w:rsid w:val="00C27909"/>
    <w:rsid w:val="00C27B03"/>
    <w:rsid w:val="00C30155"/>
    <w:rsid w:val="00C308EF"/>
    <w:rsid w:val="00C314E1"/>
    <w:rsid w:val="00C33943"/>
    <w:rsid w:val="00C34013"/>
    <w:rsid w:val="00C34397"/>
    <w:rsid w:val="00C35B11"/>
    <w:rsid w:val="00C37CEE"/>
    <w:rsid w:val="00C4095D"/>
    <w:rsid w:val="00C40CD3"/>
    <w:rsid w:val="00C4149B"/>
    <w:rsid w:val="00C43A97"/>
    <w:rsid w:val="00C43F87"/>
    <w:rsid w:val="00C44DBD"/>
    <w:rsid w:val="00C505DF"/>
    <w:rsid w:val="00C52C35"/>
    <w:rsid w:val="00C52E9A"/>
    <w:rsid w:val="00C535F7"/>
    <w:rsid w:val="00C53817"/>
    <w:rsid w:val="00C57E88"/>
    <w:rsid w:val="00C601D2"/>
    <w:rsid w:val="00C60241"/>
    <w:rsid w:val="00C61AC8"/>
    <w:rsid w:val="00C6401D"/>
    <w:rsid w:val="00C6534E"/>
    <w:rsid w:val="00C657AB"/>
    <w:rsid w:val="00C65BCC"/>
    <w:rsid w:val="00C66970"/>
    <w:rsid w:val="00C66EE1"/>
    <w:rsid w:val="00C6776B"/>
    <w:rsid w:val="00C71438"/>
    <w:rsid w:val="00C73B37"/>
    <w:rsid w:val="00C73CCA"/>
    <w:rsid w:val="00C74EC4"/>
    <w:rsid w:val="00C764B1"/>
    <w:rsid w:val="00C7702B"/>
    <w:rsid w:val="00C81CE5"/>
    <w:rsid w:val="00C83980"/>
    <w:rsid w:val="00C83F9B"/>
    <w:rsid w:val="00C8433B"/>
    <w:rsid w:val="00C84938"/>
    <w:rsid w:val="00C84BB2"/>
    <w:rsid w:val="00C8691C"/>
    <w:rsid w:val="00C90C53"/>
    <w:rsid w:val="00C93D1C"/>
    <w:rsid w:val="00C9488F"/>
    <w:rsid w:val="00C95BD6"/>
    <w:rsid w:val="00C9678B"/>
    <w:rsid w:val="00C9700D"/>
    <w:rsid w:val="00C97C39"/>
    <w:rsid w:val="00CA168A"/>
    <w:rsid w:val="00CA1BE9"/>
    <w:rsid w:val="00CA23BC"/>
    <w:rsid w:val="00CA357E"/>
    <w:rsid w:val="00CA44F9"/>
    <w:rsid w:val="00CA4A69"/>
    <w:rsid w:val="00CA4B94"/>
    <w:rsid w:val="00CA4D86"/>
    <w:rsid w:val="00CA5A17"/>
    <w:rsid w:val="00CA7029"/>
    <w:rsid w:val="00CA71E2"/>
    <w:rsid w:val="00CB0EAF"/>
    <w:rsid w:val="00CB4317"/>
    <w:rsid w:val="00CB4E5B"/>
    <w:rsid w:val="00CB554C"/>
    <w:rsid w:val="00CC130F"/>
    <w:rsid w:val="00CC153F"/>
    <w:rsid w:val="00CC1F90"/>
    <w:rsid w:val="00CC3249"/>
    <w:rsid w:val="00CC3436"/>
    <w:rsid w:val="00CC3E0C"/>
    <w:rsid w:val="00CC58D3"/>
    <w:rsid w:val="00CC784D"/>
    <w:rsid w:val="00CD0015"/>
    <w:rsid w:val="00CD14E1"/>
    <w:rsid w:val="00CD37FA"/>
    <w:rsid w:val="00CD4270"/>
    <w:rsid w:val="00CD5B83"/>
    <w:rsid w:val="00CD61AC"/>
    <w:rsid w:val="00CD6ED4"/>
    <w:rsid w:val="00CD7400"/>
    <w:rsid w:val="00CD7462"/>
    <w:rsid w:val="00CE2183"/>
    <w:rsid w:val="00CE372F"/>
    <w:rsid w:val="00CE4ED7"/>
    <w:rsid w:val="00CE5FE5"/>
    <w:rsid w:val="00CE7927"/>
    <w:rsid w:val="00CE7ABE"/>
    <w:rsid w:val="00CF1ACC"/>
    <w:rsid w:val="00CF2B1B"/>
    <w:rsid w:val="00CF5F4F"/>
    <w:rsid w:val="00CF6B14"/>
    <w:rsid w:val="00CF6CA0"/>
    <w:rsid w:val="00D01945"/>
    <w:rsid w:val="00D0337B"/>
    <w:rsid w:val="00D038E5"/>
    <w:rsid w:val="00D03D75"/>
    <w:rsid w:val="00D057E1"/>
    <w:rsid w:val="00D06317"/>
    <w:rsid w:val="00D079B2"/>
    <w:rsid w:val="00D114E9"/>
    <w:rsid w:val="00D124F0"/>
    <w:rsid w:val="00D13269"/>
    <w:rsid w:val="00D13EDD"/>
    <w:rsid w:val="00D14266"/>
    <w:rsid w:val="00D14D3E"/>
    <w:rsid w:val="00D15222"/>
    <w:rsid w:val="00D1529E"/>
    <w:rsid w:val="00D1585D"/>
    <w:rsid w:val="00D160DD"/>
    <w:rsid w:val="00D16F00"/>
    <w:rsid w:val="00D17992"/>
    <w:rsid w:val="00D226BA"/>
    <w:rsid w:val="00D2381C"/>
    <w:rsid w:val="00D2671F"/>
    <w:rsid w:val="00D350BE"/>
    <w:rsid w:val="00D37718"/>
    <w:rsid w:val="00D4050D"/>
    <w:rsid w:val="00D40ACF"/>
    <w:rsid w:val="00D40C54"/>
    <w:rsid w:val="00D40F47"/>
    <w:rsid w:val="00D410AA"/>
    <w:rsid w:val="00D41161"/>
    <w:rsid w:val="00D429C6"/>
    <w:rsid w:val="00D42F3F"/>
    <w:rsid w:val="00D431C3"/>
    <w:rsid w:val="00D439A0"/>
    <w:rsid w:val="00D4603E"/>
    <w:rsid w:val="00D47748"/>
    <w:rsid w:val="00D47ADF"/>
    <w:rsid w:val="00D511A4"/>
    <w:rsid w:val="00D51B11"/>
    <w:rsid w:val="00D51DFA"/>
    <w:rsid w:val="00D529C2"/>
    <w:rsid w:val="00D52DD7"/>
    <w:rsid w:val="00D54CC3"/>
    <w:rsid w:val="00D55591"/>
    <w:rsid w:val="00D571B5"/>
    <w:rsid w:val="00D6041A"/>
    <w:rsid w:val="00D6184E"/>
    <w:rsid w:val="00D62777"/>
    <w:rsid w:val="00D633EB"/>
    <w:rsid w:val="00D64314"/>
    <w:rsid w:val="00D64331"/>
    <w:rsid w:val="00D64C07"/>
    <w:rsid w:val="00D6501A"/>
    <w:rsid w:val="00D6652B"/>
    <w:rsid w:val="00D672E9"/>
    <w:rsid w:val="00D71C89"/>
    <w:rsid w:val="00D7296C"/>
    <w:rsid w:val="00D75E48"/>
    <w:rsid w:val="00D82657"/>
    <w:rsid w:val="00D82B89"/>
    <w:rsid w:val="00D82FF7"/>
    <w:rsid w:val="00D847FE"/>
    <w:rsid w:val="00D85D04"/>
    <w:rsid w:val="00D86A08"/>
    <w:rsid w:val="00D878DE"/>
    <w:rsid w:val="00D903D4"/>
    <w:rsid w:val="00D908AD"/>
    <w:rsid w:val="00D92CB0"/>
    <w:rsid w:val="00D9335A"/>
    <w:rsid w:val="00D964EA"/>
    <w:rsid w:val="00D966D0"/>
    <w:rsid w:val="00D973E2"/>
    <w:rsid w:val="00D97E1F"/>
    <w:rsid w:val="00DA0C59"/>
    <w:rsid w:val="00DA3991"/>
    <w:rsid w:val="00DA3EB5"/>
    <w:rsid w:val="00DA430D"/>
    <w:rsid w:val="00DB7CA0"/>
    <w:rsid w:val="00DB7E6C"/>
    <w:rsid w:val="00DC0052"/>
    <w:rsid w:val="00DC24EA"/>
    <w:rsid w:val="00DC25A4"/>
    <w:rsid w:val="00DC2B04"/>
    <w:rsid w:val="00DC3C1A"/>
    <w:rsid w:val="00DC41B4"/>
    <w:rsid w:val="00DC6AA1"/>
    <w:rsid w:val="00DC76ED"/>
    <w:rsid w:val="00DC78BB"/>
    <w:rsid w:val="00DD0E44"/>
    <w:rsid w:val="00DD173A"/>
    <w:rsid w:val="00DD2424"/>
    <w:rsid w:val="00DD28DD"/>
    <w:rsid w:val="00DD33D4"/>
    <w:rsid w:val="00DD370A"/>
    <w:rsid w:val="00DD4775"/>
    <w:rsid w:val="00DD5A29"/>
    <w:rsid w:val="00DD5D9D"/>
    <w:rsid w:val="00DD72DF"/>
    <w:rsid w:val="00DE16BD"/>
    <w:rsid w:val="00DE35CB"/>
    <w:rsid w:val="00DE5457"/>
    <w:rsid w:val="00DE5A9A"/>
    <w:rsid w:val="00DE63A6"/>
    <w:rsid w:val="00DE6F39"/>
    <w:rsid w:val="00DF01E9"/>
    <w:rsid w:val="00DF066E"/>
    <w:rsid w:val="00DF21E9"/>
    <w:rsid w:val="00DF22B2"/>
    <w:rsid w:val="00DF316D"/>
    <w:rsid w:val="00DF3CB3"/>
    <w:rsid w:val="00DF4AA8"/>
    <w:rsid w:val="00E0091F"/>
    <w:rsid w:val="00E009AB"/>
    <w:rsid w:val="00E00F14"/>
    <w:rsid w:val="00E02948"/>
    <w:rsid w:val="00E034C9"/>
    <w:rsid w:val="00E034CD"/>
    <w:rsid w:val="00E05BA9"/>
    <w:rsid w:val="00E06386"/>
    <w:rsid w:val="00E06943"/>
    <w:rsid w:val="00E06C65"/>
    <w:rsid w:val="00E078F9"/>
    <w:rsid w:val="00E10178"/>
    <w:rsid w:val="00E10212"/>
    <w:rsid w:val="00E11617"/>
    <w:rsid w:val="00E1172C"/>
    <w:rsid w:val="00E11839"/>
    <w:rsid w:val="00E1227F"/>
    <w:rsid w:val="00E12BB4"/>
    <w:rsid w:val="00E15F1B"/>
    <w:rsid w:val="00E164F1"/>
    <w:rsid w:val="00E16FE6"/>
    <w:rsid w:val="00E2326C"/>
    <w:rsid w:val="00E24EB4"/>
    <w:rsid w:val="00E24EDF"/>
    <w:rsid w:val="00E263C0"/>
    <w:rsid w:val="00E266F0"/>
    <w:rsid w:val="00E2683B"/>
    <w:rsid w:val="00E3016D"/>
    <w:rsid w:val="00E320ED"/>
    <w:rsid w:val="00E322B8"/>
    <w:rsid w:val="00E32A3B"/>
    <w:rsid w:val="00E33A7D"/>
    <w:rsid w:val="00E33AFB"/>
    <w:rsid w:val="00E34218"/>
    <w:rsid w:val="00E343C3"/>
    <w:rsid w:val="00E37456"/>
    <w:rsid w:val="00E41169"/>
    <w:rsid w:val="00E41198"/>
    <w:rsid w:val="00E43E4B"/>
    <w:rsid w:val="00E45358"/>
    <w:rsid w:val="00E45527"/>
    <w:rsid w:val="00E45CA5"/>
    <w:rsid w:val="00E46282"/>
    <w:rsid w:val="00E518B9"/>
    <w:rsid w:val="00E5216E"/>
    <w:rsid w:val="00E52AE0"/>
    <w:rsid w:val="00E531DC"/>
    <w:rsid w:val="00E541C9"/>
    <w:rsid w:val="00E5754B"/>
    <w:rsid w:val="00E60713"/>
    <w:rsid w:val="00E6183F"/>
    <w:rsid w:val="00E65A79"/>
    <w:rsid w:val="00E663F6"/>
    <w:rsid w:val="00E67433"/>
    <w:rsid w:val="00E722E4"/>
    <w:rsid w:val="00E73C1E"/>
    <w:rsid w:val="00E74101"/>
    <w:rsid w:val="00E7415C"/>
    <w:rsid w:val="00E7461A"/>
    <w:rsid w:val="00E752C7"/>
    <w:rsid w:val="00E76BB9"/>
    <w:rsid w:val="00E77A8D"/>
    <w:rsid w:val="00E82344"/>
    <w:rsid w:val="00E830AD"/>
    <w:rsid w:val="00E83A6B"/>
    <w:rsid w:val="00E849EF"/>
    <w:rsid w:val="00E84C82"/>
    <w:rsid w:val="00E84D64"/>
    <w:rsid w:val="00E85264"/>
    <w:rsid w:val="00E8726F"/>
    <w:rsid w:val="00E87408"/>
    <w:rsid w:val="00E914C4"/>
    <w:rsid w:val="00E934F5"/>
    <w:rsid w:val="00E935D4"/>
    <w:rsid w:val="00E95948"/>
    <w:rsid w:val="00E96961"/>
    <w:rsid w:val="00EA1A81"/>
    <w:rsid w:val="00EA3ECA"/>
    <w:rsid w:val="00EA5DDA"/>
    <w:rsid w:val="00EA63AD"/>
    <w:rsid w:val="00EA688D"/>
    <w:rsid w:val="00EA72EC"/>
    <w:rsid w:val="00EA777D"/>
    <w:rsid w:val="00EB11CB"/>
    <w:rsid w:val="00EB1F4A"/>
    <w:rsid w:val="00EB275A"/>
    <w:rsid w:val="00EB293D"/>
    <w:rsid w:val="00EB39D2"/>
    <w:rsid w:val="00EB786A"/>
    <w:rsid w:val="00EB7FBA"/>
    <w:rsid w:val="00EC0BC6"/>
    <w:rsid w:val="00EC1578"/>
    <w:rsid w:val="00EC1C72"/>
    <w:rsid w:val="00EC2037"/>
    <w:rsid w:val="00EC2544"/>
    <w:rsid w:val="00EC3CC9"/>
    <w:rsid w:val="00EC680A"/>
    <w:rsid w:val="00ED0351"/>
    <w:rsid w:val="00ED0779"/>
    <w:rsid w:val="00ED104A"/>
    <w:rsid w:val="00ED1720"/>
    <w:rsid w:val="00ED1902"/>
    <w:rsid w:val="00ED2F01"/>
    <w:rsid w:val="00ED4875"/>
    <w:rsid w:val="00ED5B33"/>
    <w:rsid w:val="00ED789F"/>
    <w:rsid w:val="00EE2BED"/>
    <w:rsid w:val="00EE374B"/>
    <w:rsid w:val="00EE4DCE"/>
    <w:rsid w:val="00EE7F31"/>
    <w:rsid w:val="00EF11D7"/>
    <w:rsid w:val="00EF1618"/>
    <w:rsid w:val="00EF29E7"/>
    <w:rsid w:val="00EF361D"/>
    <w:rsid w:val="00EF5E46"/>
    <w:rsid w:val="00F00622"/>
    <w:rsid w:val="00F03DCE"/>
    <w:rsid w:val="00F11BB5"/>
    <w:rsid w:val="00F1236A"/>
    <w:rsid w:val="00F1417B"/>
    <w:rsid w:val="00F14D23"/>
    <w:rsid w:val="00F14F58"/>
    <w:rsid w:val="00F15F75"/>
    <w:rsid w:val="00F16DD0"/>
    <w:rsid w:val="00F17156"/>
    <w:rsid w:val="00F2034A"/>
    <w:rsid w:val="00F2558B"/>
    <w:rsid w:val="00F2697F"/>
    <w:rsid w:val="00F276A4"/>
    <w:rsid w:val="00F27B53"/>
    <w:rsid w:val="00F30052"/>
    <w:rsid w:val="00F3191A"/>
    <w:rsid w:val="00F33CDD"/>
    <w:rsid w:val="00F34B99"/>
    <w:rsid w:val="00F353CD"/>
    <w:rsid w:val="00F42F42"/>
    <w:rsid w:val="00F4568A"/>
    <w:rsid w:val="00F46BB1"/>
    <w:rsid w:val="00F4771A"/>
    <w:rsid w:val="00F50595"/>
    <w:rsid w:val="00F511AA"/>
    <w:rsid w:val="00F52AE2"/>
    <w:rsid w:val="00F52DAB"/>
    <w:rsid w:val="00F533E2"/>
    <w:rsid w:val="00F53A69"/>
    <w:rsid w:val="00F53CDA"/>
    <w:rsid w:val="00F543F0"/>
    <w:rsid w:val="00F61561"/>
    <w:rsid w:val="00F627AE"/>
    <w:rsid w:val="00F636F2"/>
    <w:rsid w:val="00F63E1B"/>
    <w:rsid w:val="00F65846"/>
    <w:rsid w:val="00F660E1"/>
    <w:rsid w:val="00F66979"/>
    <w:rsid w:val="00F67D03"/>
    <w:rsid w:val="00F707EB"/>
    <w:rsid w:val="00F73179"/>
    <w:rsid w:val="00F7455F"/>
    <w:rsid w:val="00F75CEA"/>
    <w:rsid w:val="00F812F3"/>
    <w:rsid w:val="00F81534"/>
    <w:rsid w:val="00F81D29"/>
    <w:rsid w:val="00F821CB"/>
    <w:rsid w:val="00F83488"/>
    <w:rsid w:val="00F83791"/>
    <w:rsid w:val="00F83805"/>
    <w:rsid w:val="00F91C4D"/>
    <w:rsid w:val="00F92FD9"/>
    <w:rsid w:val="00F94AF7"/>
    <w:rsid w:val="00F95A7B"/>
    <w:rsid w:val="00F96EB9"/>
    <w:rsid w:val="00FA03CF"/>
    <w:rsid w:val="00FA46F6"/>
    <w:rsid w:val="00FA6684"/>
    <w:rsid w:val="00FA7210"/>
    <w:rsid w:val="00FA731E"/>
    <w:rsid w:val="00FB10C6"/>
    <w:rsid w:val="00FB1984"/>
    <w:rsid w:val="00FB1F19"/>
    <w:rsid w:val="00FB2B38"/>
    <w:rsid w:val="00FB54C3"/>
    <w:rsid w:val="00FB74DF"/>
    <w:rsid w:val="00FC0836"/>
    <w:rsid w:val="00FC1425"/>
    <w:rsid w:val="00FC457F"/>
    <w:rsid w:val="00FC6358"/>
    <w:rsid w:val="00FC7652"/>
    <w:rsid w:val="00FC7B5D"/>
    <w:rsid w:val="00FD17F7"/>
    <w:rsid w:val="00FD1F90"/>
    <w:rsid w:val="00FD201D"/>
    <w:rsid w:val="00FD2491"/>
    <w:rsid w:val="00FD256E"/>
    <w:rsid w:val="00FD320D"/>
    <w:rsid w:val="00FD433B"/>
    <w:rsid w:val="00FE04F8"/>
    <w:rsid w:val="00FE1199"/>
    <w:rsid w:val="00FE23DE"/>
    <w:rsid w:val="00FE23FB"/>
    <w:rsid w:val="00FF3C72"/>
    <w:rsid w:val="00FF59C2"/>
    <w:rsid w:val="00FF775C"/>
    <w:rsid w:val="011D6517"/>
    <w:rsid w:val="024617F2"/>
    <w:rsid w:val="03DF2DEB"/>
    <w:rsid w:val="049D3B67"/>
    <w:rsid w:val="04B902E9"/>
    <w:rsid w:val="07155C37"/>
    <w:rsid w:val="083E2F6B"/>
    <w:rsid w:val="089808CE"/>
    <w:rsid w:val="08C416C3"/>
    <w:rsid w:val="0A6C0264"/>
    <w:rsid w:val="0CD43DAF"/>
    <w:rsid w:val="0ED631DA"/>
    <w:rsid w:val="0F4D1A20"/>
    <w:rsid w:val="0F933539"/>
    <w:rsid w:val="102A3282"/>
    <w:rsid w:val="106F460A"/>
    <w:rsid w:val="13F13588"/>
    <w:rsid w:val="1446211F"/>
    <w:rsid w:val="157B28AD"/>
    <w:rsid w:val="18770500"/>
    <w:rsid w:val="18ED2570"/>
    <w:rsid w:val="1B393D4A"/>
    <w:rsid w:val="1B955C81"/>
    <w:rsid w:val="1E4323C2"/>
    <w:rsid w:val="1EFF49FF"/>
    <w:rsid w:val="1F237EE7"/>
    <w:rsid w:val="1F264A2D"/>
    <w:rsid w:val="1F654814"/>
    <w:rsid w:val="1FEA0D67"/>
    <w:rsid w:val="20A90994"/>
    <w:rsid w:val="235F0310"/>
    <w:rsid w:val="239C5356"/>
    <w:rsid w:val="23C465C3"/>
    <w:rsid w:val="23F0170C"/>
    <w:rsid w:val="26650511"/>
    <w:rsid w:val="279D1605"/>
    <w:rsid w:val="27AD23B1"/>
    <w:rsid w:val="282D2989"/>
    <w:rsid w:val="287560DE"/>
    <w:rsid w:val="28D20B4E"/>
    <w:rsid w:val="28E3573D"/>
    <w:rsid w:val="299C61C8"/>
    <w:rsid w:val="2AD73080"/>
    <w:rsid w:val="2B2D0EF2"/>
    <w:rsid w:val="2BD77907"/>
    <w:rsid w:val="2BFB2D9E"/>
    <w:rsid w:val="2D460049"/>
    <w:rsid w:val="2D7C6A4D"/>
    <w:rsid w:val="2DD7166B"/>
    <w:rsid w:val="2F0023CA"/>
    <w:rsid w:val="2F6173BC"/>
    <w:rsid w:val="2F8A3D74"/>
    <w:rsid w:val="301F52AD"/>
    <w:rsid w:val="304D751C"/>
    <w:rsid w:val="31961DE2"/>
    <w:rsid w:val="32D22AAA"/>
    <w:rsid w:val="3355548A"/>
    <w:rsid w:val="336AE313"/>
    <w:rsid w:val="33D3099C"/>
    <w:rsid w:val="356E45E1"/>
    <w:rsid w:val="36237179"/>
    <w:rsid w:val="374B4BD9"/>
    <w:rsid w:val="37903E36"/>
    <w:rsid w:val="37CD3840"/>
    <w:rsid w:val="398F1C45"/>
    <w:rsid w:val="3A3F02FA"/>
    <w:rsid w:val="3AC63DE2"/>
    <w:rsid w:val="3B7B1805"/>
    <w:rsid w:val="3BCF02E3"/>
    <w:rsid w:val="3D27512C"/>
    <w:rsid w:val="3D734E8A"/>
    <w:rsid w:val="40263C07"/>
    <w:rsid w:val="4077259B"/>
    <w:rsid w:val="40CF687B"/>
    <w:rsid w:val="41E33C60"/>
    <w:rsid w:val="41F12821"/>
    <w:rsid w:val="432D2F2C"/>
    <w:rsid w:val="47543636"/>
    <w:rsid w:val="47D804F8"/>
    <w:rsid w:val="48AE3CB9"/>
    <w:rsid w:val="491C4628"/>
    <w:rsid w:val="49F66C27"/>
    <w:rsid w:val="4AA12AAF"/>
    <w:rsid w:val="4BE8259F"/>
    <w:rsid w:val="4C1415E6"/>
    <w:rsid w:val="4D873206"/>
    <w:rsid w:val="4F957B19"/>
    <w:rsid w:val="50B763AA"/>
    <w:rsid w:val="56671044"/>
    <w:rsid w:val="57553141"/>
    <w:rsid w:val="580C3819"/>
    <w:rsid w:val="58A214C5"/>
    <w:rsid w:val="5F23426C"/>
    <w:rsid w:val="601F116D"/>
    <w:rsid w:val="60F30196"/>
    <w:rsid w:val="614C3178"/>
    <w:rsid w:val="6259034D"/>
    <w:rsid w:val="626B4FED"/>
    <w:rsid w:val="65105B01"/>
    <w:rsid w:val="674D49C3"/>
    <w:rsid w:val="68F664A2"/>
    <w:rsid w:val="690E58E3"/>
    <w:rsid w:val="6A6E23B2"/>
    <w:rsid w:val="6B851761"/>
    <w:rsid w:val="6DF3569A"/>
    <w:rsid w:val="6F03131A"/>
    <w:rsid w:val="6F35349E"/>
    <w:rsid w:val="6FBFCC92"/>
    <w:rsid w:val="70D306F8"/>
    <w:rsid w:val="728C4B33"/>
    <w:rsid w:val="73EFDE57"/>
    <w:rsid w:val="74597A0F"/>
    <w:rsid w:val="74A54C22"/>
    <w:rsid w:val="75483F2B"/>
    <w:rsid w:val="7587789E"/>
    <w:rsid w:val="75B81851"/>
    <w:rsid w:val="77A2369A"/>
    <w:rsid w:val="77BEA397"/>
    <w:rsid w:val="78BE62B2"/>
    <w:rsid w:val="796E7CD8"/>
    <w:rsid w:val="7ACD6C80"/>
    <w:rsid w:val="7E192908"/>
    <w:rsid w:val="7E41481C"/>
    <w:rsid w:val="7E65767F"/>
    <w:rsid w:val="7EEBC7D1"/>
    <w:rsid w:val="7F7510B2"/>
    <w:rsid w:val="7FF74826"/>
    <w:rsid w:val="7FF802FC"/>
    <w:rsid w:val="8F76CD06"/>
    <w:rsid w:val="BDAA58C5"/>
    <w:rsid w:val="FBAF7C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99"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59"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3"/>
    <w:qFormat/>
    <w:uiPriority w:val="0"/>
    <w:pPr>
      <w:keepNext/>
      <w:keepLines/>
      <w:adjustRightInd w:val="0"/>
      <w:spacing w:before="340" w:after="330" w:line="578" w:lineRule="auto"/>
      <w:outlineLvl w:val="0"/>
    </w:pPr>
    <w:rPr>
      <w:rFonts w:ascii="Calibri" w:hAnsi="Calibri"/>
      <w:b/>
      <w:bCs/>
      <w:kern w:val="44"/>
      <w:sz w:val="44"/>
      <w:szCs w:val="44"/>
    </w:rPr>
  </w:style>
  <w:style w:type="paragraph" w:styleId="3">
    <w:name w:val="heading 2"/>
    <w:basedOn w:val="1"/>
    <w:next w:val="1"/>
    <w:link w:val="52"/>
    <w:qFormat/>
    <w:uiPriority w:val="0"/>
    <w:pPr>
      <w:keepNext/>
      <w:keepLines/>
      <w:adjustRightInd w:val="0"/>
      <w:spacing w:before="260" w:after="260" w:line="416" w:lineRule="auto"/>
      <w:outlineLvl w:val="1"/>
    </w:pPr>
    <w:rPr>
      <w:rFonts w:ascii="Arial" w:hAnsi="Arial" w:eastAsia="黑体"/>
      <w:b/>
      <w:bCs/>
      <w:sz w:val="32"/>
      <w:szCs w:val="32"/>
    </w:rPr>
  </w:style>
  <w:style w:type="paragraph" w:styleId="4">
    <w:name w:val="heading 3"/>
    <w:basedOn w:val="1"/>
    <w:next w:val="1"/>
    <w:link w:val="54"/>
    <w:qFormat/>
    <w:uiPriority w:val="0"/>
    <w:pPr>
      <w:keepNext/>
      <w:keepLines/>
      <w:adjustRightInd w:val="0"/>
      <w:spacing w:before="260" w:after="260" w:line="416" w:lineRule="auto"/>
      <w:outlineLvl w:val="2"/>
    </w:pPr>
    <w:rPr>
      <w:rFonts w:ascii="Calibri" w:hAnsi="Calibri"/>
      <w:b/>
      <w:bCs/>
      <w:sz w:val="32"/>
      <w:szCs w:val="32"/>
    </w:rPr>
  </w:style>
  <w:style w:type="paragraph" w:styleId="5">
    <w:name w:val="heading 4"/>
    <w:basedOn w:val="1"/>
    <w:next w:val="1"/>
    <w:link w:val="55"/>
    <w:qFormat/>
    <w:uiPriority w:val="0"/>
    <w:pPr>
      <w:keepNext/>
      <w:keepLines/>
      <w:adjustRightInd w:val="0"/>
      <w:spacing w:before="280" w:after="290" w:line="376" w:lineRule="auto"/>
      <w:outlineLvl w:val="3"/>
    </w:pPr>
    <w:rPr>
      <w:rFonts w:ascii="Arial" w:hAnsi="Arial" w:eastAsia="黑体"/>
      <w:b/>
      <w:bCs/>
      <w:sz w:val="28"/>
      <w:szCs w:val="28"/>
    </w:rPr>
  </w:style>
  <w:style w:type="paragraph" w:styleId="6">
    <w:name w:val="heading 5"/>
    <w:basedOn w:val="1"/>
    <w:next w:val="1"/>
    <w:link w:val="56"/>
    <w:qFormat/>
    <w:uiPriority w:val="0"/>
    <w:pPr>
      <w:keepNext/>
      <w:keepLines/>
      <w:spacing w:before="280" w:after="290" w:line="376" w:lineRule="auto"/>
      <w:outlineLvl w:val="4"/>
    </w:pPr>
    <w:rPr>
      <w:rFonts w:ascii="Calibri" w:hAnsi="Calibri"/>
      <w:b/>
      <w:bCs/>
      <w:sz w:val="28"/>
      <w:szCs w:val="28"/>
    </w:rPr>
  </w:style>
  <w:style w:type="paragraph" w:styleId="7">
    <w:name w:val="heading 6"/>
    <w:basedOn w:val="1"/>
    <w:next w:val="1"/>
    <w:link w:val="57"/>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58"/>
    <w:qFormat/>
    <w:uiPriority w:val="0"/>
    <w:pPr>
      <w:keepNext/>
      <w:keepLines/>
      <w:spacing w:before="240" w:after="64" w:line="320" w:lineRule="auto"/>
      <w:outlineLvl w:val="6"/>
    </w:pPr>
    <w:rPr>
      <w:rFonts w:ascii="Calibri" w:hAnsi="Calibri"/>
      <w:b/>
      <w:bCs/>
      <w:sz w:val="24"/>
    </w:rPr>
  </w:style>
  <w:style w:type="paragraph" w:styleId="9">
    <w:name w:val="heading 8"/>
    <w:basedOn w:val="1"/>
    <w:next w:val="1"/>
    <w:link w:val="59"/>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link w:val="60"/>
    <w:qFormat/>
    <w:uiPriority w:val="0"/>
    <w:pPr>
      <w:keepNext/>
      <w:keepLines/>
      <w:spacing w:before="240" w:after="64" w:line="320" w:lineRule="auto"/>
      <w:outlineLvl w:val="8"/>
    </w:pPr>
    <w:rPr>
      <w:rFonts w:ascii="Arial" w:hAnsi="Arial" w:eastAsia="黑体"/>
      <w:szCs w:val="21"/>
    </w:rPr>
  </w:style>
  <w:style w:type="character" w:default="1" w:styleId="45">
    <w:name w:val="Default Paragraph Font"/>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tabs>
        <w:tab w:val="right" w:leader="dot" w:pos="9241"/>
      </w:tabs>
      <w:ind w:firstLine="505" w:firstLineChars="500"/>
      <w:jc w:val="left"/>
    </w:pPr>
    <w:rPr>
      <w:rFonts w:ascii="宋体"/>
      <w:szCs w:val="21"/>
    </w:rPr>
  </w:style>
  <w:style w:type="paragraph" w:styleId="12">
    <w:name w:val="index 8"/>
    <w:basedOn w:val="1"/>
    <w:next w:val="1"/>
    <w:qFormat/>
    <w:uiPriority w:val="0"/>
    <w:pPr>
      <w:ind w:left="1680" w:hanging="210"/>
      <w:jc w:val="left"/>
    </w:pPr>
    <w:rPr>
      <w:rFonts w:ascii="Calibri" w:hAnsi="Calibri"/>
      <w:sz w:val="20"/>
      <w:szCs w:val="20"/>
    </w:rPr>
  </w:style>
  <w:style w:type="paragraph" w:styleId="13">
    <w:name w:val="Normal Indent"/>
    <w:basedOn w:val="1"/>
    <w:qFormat/>
    <w:uiPriority w:val="0"/>
    <w:pPr>
      <w:adjustRightInd w:val="0"/>
      <w:spacing w:line="400" w:lineRule="exact"/>
      <w:ind w:firstLine="420"/>
    </w:pPr>
    <w:rPr>
      <w:rFonts w:ascii="Calibri" w:hAnsi="Calibri"/>
      <w:szCs w:val="21"/>
    </w:rPr>
  </w:style>
  <w:style w:type="paragraph" w:styleId="14">
    <w:name w:val="caption"/>
    <w:basedOn w:val="1"/>
    <w:next w:val="1"/>
    <w:link w:val="61"/>
    <w:qFormat/>
    <w:uiPriority w:val="99"/>
    <w:pPr>
      <w:spacing w:before="152" w:after="160"/>
    </w:pPr>
    <w:rPr>
      <w:rFonts w:ascii="Arial" w:hAnsi="Arial" w:eastAsia="黑体"/>
      <w:sz w:val="20"/>
      <w:szCs w:val="20"/>
    </w:rPr>
  </w:style>
  <w:style w:type="paragraph" w:styleId="15">
    <w:name w:val="index 5"/>
    <w:basedOn w:val="1"/>
    <w:next w:val="1"/>
    <w:qFormat/>
    <w:uiPriority w:val="0"/>
    <w:pPr>
      <w:ind w:left="1050" w:hanging="210"/>
      <w:jc w:val="left"/>
    </w:pPr>
    <w:rPr>
      <w:rFonts w:ascii="Calibri" w:hAnsi="Calibri"/>
      <w:sz w:val="20"/>
      <w:szCs w:val="20"/>
    </w:rPr>
  </w:style>
  <w:style w:type="paragraph" w:styleId="16">
    <w:name w:val="Document Map"/>
    <w:basedOn w:val="1"/>
    <w:link w:val="62"/>
    <w:semiHidden/>
    <w:qFormat/>
    <w:uiPriority w:val="99"/>
    <w:pPr>
      <w:shd w:val="clear" w:color="auto" w:fill="000080"/>
    </w:pPr>
  </w:style>
  <w:style w:type="paragraph" w:styleId="17">
    <w:name w:val="index 6"/>
    <w:basedOn w:val="1"/>
    <w:next w:val="1"/>
    <w:qFormat/>
    <w:uiPriority w:val="0"/>
    <w:pPr>
      <w:ind w:left="1260" w:hanging="210"/>
      <w:jc w:val="left"/>
    </w:pPr>
    <w:rPr>
      <w:rFonts w:ascii="Calibri" w:hAnsi="Calibri"/>
      <w:sz w:val="20"/>
      <w:szCs w:val="20"/>
    </w:rPr>
  </w:style>
  <w:style w:type="paragraph" w:styleId="18">
    <w:name w:val="Body Text"/>
    <w:basedOn w:val="1"/>
    <w:link w:val="63"/>
    <w:qFormat/>
    <w:uiPriority w:val="1"/>
    <w:pPr>
      <w:adjustRightInd w:val="0"/>
      <w:spacing w:after="120" w:line="400" w:lineRule="exact"/>
    </w:pPr>
    <w:rPr>
      <w:rFonts w:ascii="Calibri" w:hAnsi="Calibri"/>
      <w:szCs w:val="21"/>
    </w:rPr>
  </w:style>
  <w:style w:type="paragraph" w:styleId="19">
    <w:name w:val="index 4"/>
    <w:basedOn w:val="1"/>
    <w:next w:val="1"/>
    <w:qFormat/>
    <w:uiPriority w:val="0"/>
    <w:pPr>
      <w:ind w:left="840" w:hanging="210"/>
      <w:jc w:val="left"/>
    </w:pPr>
    <w:rPr>
      <w:rFonts w:ascii="Calibri" w:hAnsi="Calibri"/>
      <w:sz w:val="20"/>
      <w:szCs w:val="20"/>
    </w:rPr>
  </w:style>
  <w:style w:type="paragraph" w:styleId="20">
    <w:name w:val="toc 5"/>
    <w:basedOn w:val="1"/>
    <w:next w:val="1"/>
    <w:qFormat/>
    <w:uiPriority w:val="39"/>
    <w:pPr>
      <w:tabs>
        <w:tab w:val="right" w:leader="dot" w:pos="9241"/>
      </w:tabs>
      <w:ind w:firstLine="300" w:firstLineChars="300"/>
      <w:jc w:val="left"/>
    </w:pPr>
    <w:rPr>
      <w:rFonts w:ascii="宋体"/>
      <w:szCs w:val="21"/>
    </w:rPr>
  </w:style>
  <w:style w:type="paragraph" w:styleId="21">
    <w:name w:val="toc 3"/>
    <w:basedOn w:val="1"/>
    <w:next w:val="1"/>
    <w:qFormat/>
    <w:uiPriority w:val="39"/>
    <w:pPr>
      <w:tabs>
        <w:tab w:val="right" w:leader="dot" w:pos="9241"/>
      </w:tabs>
      <w:ind w:firstLine="102" w:firstLineChars="100"/>
      <w:jc w:val="left"/>
    </w:pPr>
    <w:rPr>
      <w:rFonts w:ascii="宋体"/>
      <w:szCs w:val="21"/>
    </w:rPr>
  </w:style>
  <w:style w:type="paragraph" w:styleId="22">
    <w:name w:val="toc 8"/>
    <w:basedOn w:val="1"/>
    <w:next w:val="1"/>
    <w:semiHidden/>
    <w:qFormat/>
    <w:uiPriority w:val="0"/>
    <w:pPr>
      <w:tabs>
        <w:tab w:val="right" w:leader="dot" w:pos="9241"/>
      </w:tabs>
      <w:ind w:firstLine="607" w:firstLineChars="600"/>
      <w:jc w:val="left"/>
    </w:pPr>
    <w:rPr>
      <w:rFonts w:ascii="宋体"/>
      <w:szCs w:val="21"/>
    </w:rPr>
  </w:style>
  <w:style w:type="paragraph" w:styleId="23">
    <w:name w:val="index 3"/>
    <w:basedOn w:val="1"/>
    <w:next w:val="1"/>
    <w:qFormat/>
    <w:uiPriority w:val="0"/>
    <w:pPr>
      <w:ind w:left="630" w:hanging="210"/>
      <w:jc w:val="left"/>
    </w:pPr>
    <w:rPr>
      <w:rFonts w:ascii="Calibri" w:hAnsi="Calibri"/>
      <w:sz w:val="20"/>
      <w:szCs w:val="20"/>
    </w:rPr>
  </w:style>
  <w:style w:type="paragraph" w:styleId="24">
    <w:name w:val="Date"/>
    <w:basedOn w:val="1"/>
    <w:next w:val="1"/>
    <w:link w:val="334"/>
    <w:qFormat/>
    <w:uiPriority w:val="0"/>
    <w:pPr>
      <w:ind w:left="100" w:leftChars="2500"/>
    </w:pPr>
  </w:style>
  <w:style w:type="paragraph" w:styleId="25">
    <w:name w:val="endnote text"/>
    <w:basedOn w:val="1"/>
    <w:link w:val="64"/>
    <w:semiHidden/>
    <w:qFormat/>
    <w:uiPriority w:val="0"/>
    <w:pPr>
      <w:snapToGrid w:val="0"/>
      <w:jc w:val="left"/>
    </w:pPr>
  </w:style>
  <w:style w:type="paragraph" w:styleId="26">
    <w:name w:val="Balloon Text"/>
    <w:basedOn w:val="1"/>
    <w:link w:val="65"/>
    <w:semiHidden/>
    <w:qFormat/>
    <w:uiPriority w:val="99"/>
    <w:rPr>
      <w:sz w:val="18"/>
      <w:szCs w:val="18"/>
    </w:rPr>
  </w:style>
  <w:style w:type="paragraph" w:styleId="27">
    <w:name w:val="footer"/>
    <w:basedOn w:val="1"/>
    <w:link w:val="66"/>
    <w:qFormat/>
    <w:uiPriority w:val="99"/>
    <w:pPr>
      <w:snapToGrid w:val="0"/>
      <w:ind w:right="210" w:rightChars="100"/>
      <w:jc w:val="right"/>
    </w:pPr>
    <w:rPr>
      <w:sz w:val="18"/>
      <w:szCs w:val="18"/>
    </w:rPr>
  </w:style>
  <w:style w:type="paragraph" w:styleId="28">
    <w:name w:val="header"/>
    <w:basedOn w:val="1"/>
    <w:link w:val="67"/>
    <w:qFormat/>
    <w:uiPriority w:val="99"/>
    <w:pPr>
      <w:snapToGrid w:val="0"/>
      <w:jc w:val="left"/>
    </w:pPr>
    <w:rPr>
      <w:sz w:val="18"/>
      <w:szCs w:val="18"/>
    </w:rPr>
  </w:style>
  <w:style w:type="paragraph" w:styleId="29">
    <w:name w:val="toc 1"/>
    <w:basedOn w:val="1"/>
    <w:next w:val="1"/>
    <w:qFormat/>
    <w:uiPriority w:val="39"/>
    <w:pPr>
      <w:tabs>
        <w:tab w:val="right" w:leader="dot" w:pos="9241"/>
      </w:tabs>
      <w:spacing w:beforeLines="25" w:afterLines="25"/>
      <w:jc w:val="left"/>
    </w:pPr>
    <w:rPr>
      <w:rFonts w:ascii="宋体"/>
      <w:szCs w:val="21"/>
    </w:rPr>
  </w:style>
  <w:style w:type="paragraph" w:styleId="30">
    <w:name w:val="toc 4"/>
    <w:basedOn w:val="1"/>
    <w:next w:val="1"/>
    <w:qFormat/>
    <w:uiPriority w:val="39"/>
    <w:pPr>
      <w:tabs>
        <w:tab w:val="right" w:leader="dot" w:pos="9241"/>
      </w:tabs>
      <w:ind w:firstLine="198" w:firstLineChars="200"/>
      <w:jc w:val="left"/>
    </w:pPr>
    <w:rPr>
      <w:rFonts w:ascii="宋体"/>
      <w:szCs w:val="21"/>
    </w:rPr>
  </w:style>
  <w:style w:type="paragraph" w:styleId="31">
    <w:name w:val="index heading"/>
    <w:basedOn w:val="1"/>
    <w:next w:val="32"/>
    <w:qFormat/>
    <w:uiPriority w:val="0"/>
    <w:pPr>
      <w:spacing w:before="120" w:after="120"/>
      <w:jc w:val="center"/>
    </w:pPr>
    <w:rPr>
      <w:rFonts w:ascii="Calibri" w:hAnsi="Calibri"/>
      <w:b/>
      <w:bCs/>
      <w:iCs/>
      <w:szCs w:val="20"/>
    </w:rPr>
  </w:style>
  <w:style w:type="paragraph" w:styleId="32">
    <w:name w:val="index 1"/>
    <w:basedOn w:val="1"/>
    <w:next w:val="33"/>
    <w:qFormat/>
    <w:uiPriority w:val="0"/>
    <w:pPr>
      <w:tabs>
        <w:tab w:val="right" w:leader="dot" w:pos="9299"/>
      </w:tabs>
      <w:jc w:val="left"/>
    </w:pPr>
    <w:rPr>
      <w:rFonts w:ascii="宋体"/>
      <w:szCs w:val="21"/>
    </w:rPr>
  </w:style>
  <w:style w:type="paragraph" w:customStyle="1" w:styleId="33">
    <w:name w:val="段"/>
    <w:link w:val="6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34">
    <w:name w:val="footnote text"/>
    <w:basedOn w:val="1"/>
    <w:link w:val="69"/>
    <w:qFormat/>
    <w:uiPriority w:val="0"/>
    <w:pPr>
      <w:tabs>
        <w:tab w:val="left" w:pos="0"/>
      </w:tabs>
      <w:snapToGrid w:val="0"/>
      <w:ind w:left="720" w:hanging="357"/>
      <w:jc w:val="left"/>
    </w:pPr>
    <w:rPr>
      <w:rFonts w:ascii="宋体"/>
      <w:sz w:val="18"/>
      <w:szCs w:val="18"/>
    </w:rPr>
  </w:style>
  <w:style w:type="paragraph" w:styleId="35">
    <w:name w:val="toc 6"/>
    <w:basedOn w:val="1"/>
    <w:next w:val="1"/>
    <w:qFormat/>
    <w:uiPriority w:val="39"/>
    <w:pPr>
      <w:tabs>
        <w:tab w:val="right" w:leader="dot" w:pos="9241"/>
      </w:tabs>
      <w:ind w:firstLine="403" w:firstLineChars="400"/>
      <w:jc w:val="left"/>
    </w:pPr>
    <w:rPr>
      <w:rFonts w:ascii="宋体"/>
      <w:szCs w:val="21"/>
    </w:rPr>
  </w:style>
  <w:style w:type="paragraph" w:styleId="36">
    <w:name w:val="index 7"/>
    <w:basedOn w:val="1"/>
    <w:next w:val="1"/>
    <w:qFormat/>
    <w:uiPriority w:val="0"/>
    <w:pPr>
      <w:ind w:left="1470" w:hanging="210"/>
      <w:jc w:val="left"/>
    </w:pPr>
    <w:rPr>
      <w:rFonts w:ascii="Calibri" w:hAnsi="Calibri"/>
      <w:sz w:val="20"/>
      <w:szCs w:val="20"/>
    </w:rPr>
  </w:style>
  <w:style w:type="paragraph" w:styleId="37">
    <w:name w:val="index 9"/>
    <w:basedOn w:val="1"/>
    <w:next w:val="1"/>
    <w:qFormat/>
    <w:uiPriority w:val="0"/>
    <w:pPr>
      <w:ind w:left="1890" w:hanging="210"/>
      <w:jc w:val="left"/>
    </w:pPr>
    <w:rPr>
      <w:rFonts w:ascii="Calibri" w:hAnsi="Calibri"/>
      <w:sz w:val="20"/>
      <w:szCs w:val="20"/>
    </w:rPr>
  </w:style>
  <w:style w:type="paragraph" w:styleId="38">
    <w:name w:val="table of figures"/>
    <w:basedOn w:val="1"/>
    <w:next w:val="1"/>
    <w:qFormat/>
    <w:uiPriority w:val="0"/>
    <w:pPr>
      <w:jc w:val="left"/>
    </w:pPr>
    <w:rPr>
      <w:rFonts w:ascii="Calibri" w:hAnsi="Calibri"/>
    </w:rPr>
  </w:style>
  <w:style w:type="paragraph" w:styleId="39">
    <w:name w:val="toc 2"/>
    <w:basedOn w:val="1"/>
    <w:next w:val="1"/>
    <w:qFormat/>
    <w:uiPriority w:val="39"/>
    <w:pPr>
      <w:tabs>
        <w:tab w:val="right" w:leader="dot" w:pos="9241"/>
      </w:tabs>
    </w:pPr>
    <w:rPr>
      <w:rFonts w:ascii="宋体"/>
      <w:szCs w:val="21"/>
    </w:rPr>
  </w:style>
  <w:style w:type="paragraph" w:styleId="40">
    <w:name w:val="toc 9"/>
    <w:basedOn w:val="1"/>
    <w:next w:val="1"/>
    <w:semiHidden/>
    <w:qFormat/>
    <w:uiPriority w:val="0"/>
    <w:pPr>
      <w:ind w:left="1470"/>
      <w:jc w:val="left"/>
    </w:pPr>
    <w:rPr>
      <w:sz w:val="20"/>
      <w:szCs w:val="20"/>
    </w:rPr>
  </w:style>
  <w:style w:type="paragraph" w:styleId="41">
    <w:name w:val="index 2"/>
    <w:basedOn w:val="1"/>
    <w:next w:val="1"/>
    <w:qFormat/>
    <w:uiPriority w:val="0"/>
    <w:pPr>
      <w:ind w:left="420" w:hanging="210"/>
      <w:jc w:val="left"/>
    </w:pPr>
    <w:rPr>
      <w:rFonts w:ascii="Calibri" w:hAnsi="Calibri"/>
      <w:sz w:val="20"/>
      <w:szCs w:val="20"/>
    </w:rPr>
  </w:style>
  <w:style w:type="paragraph" w:styleId="42">
    <w:name w:val="Title"/>
    <w:basedOn w:val="1"/>
    <w:link w:val="70"/>
    <w:qFormat/>
    <w:uiPriority w:val="0"/>
    <w:pPr>
      <w:adjustRightInd w:val="0"/>
      <w:spacing w:before="240" w:after="60" w:line="400" w:lineRule="exact"/>
      <w:jc w:val="center"/>
      <w:outlineLvl w:val="0"/>
    </w:pPr>
    <w:rPr>
      <w:rFonts w:ascii="Arial" w:hAnsi="Arial"/>
      <w:b/>
      <w:bCs/>
      <w:sz w:val="32"/>
      <w:szCs w:val="32"/>
    </w:rPr>
  </w:style>
  <w:style w:type="table" w:styleId="44">
    <w:name w:val="Table Grid"/>
    <w:basedOn w:val="43"/>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6">
    <w:name w:val="Strong"/>
    <w:qFormat/>
    <w:uiPriority w:val="22"/>
    <w:rPr>
      <w:b/>
      <w:bCs/>
    </w:rPr>
  </w:style>
  <w:style w:type="character" w:styleId="47">
    <w:name w:val="endnote reference"/>
    <w:semiHidden/>
    <w:qFormat/>
    <w:uiPriority w:val="0"/>
    <w:rPr>
      <w:vertAlign w:val="superscript"/>
    </w:rPr>
  </w:style>
  <w:style w:type="character" w:styleId="48">
    <w:name w:val="page number"/>
    <w:qFormat/>
    <w:uiPriority w:val="0"/>
    <w:rPr>
      <w:rFonts w:ascii="Times New Roman" w:hAnsi="Times New Roman" w:eastAsia="宋体"/>
      <w:sz w:val="18"/>
    </w:rPr>
  </w:style>
  <w:style w:type="character" w:styleId="49">
    <w:name w:val="Emphasis"/>
    <w:qFormat/>
    <w:uiPriority w:val="20"/>
    <w:rPr>
      <w:i/>
      <w:iCs/>
    </w:rPr>
  </w:style>
  <w:style w:type="character" w:styleId="50">
    <w:name w:val="Hyperlink"/>
    <w:qFormat/>
    <w:uiPriority w:val="99"/>
    <w:rPr>
      <w:color w:val="0000FF"/>
      <w:spacing w:val="0"/>
      <w:w w:val="100"/>
      <w:szCs w:val="21"/>
      <w:u w:val="single"/>
      <w:lang w:val="en-US" w:eastAsia="zh-CN"/>
    </w:rPr>
  </w:style>
  <w:style w:type="character" w:styleId="51">
    <w:name w:val="footnote reference"/>
    <w:semiHidden/>
    <w:qFormat/>
    <w:uiPriority w:val="0"/>
    <w:rPr>
      <w:vertAlign w:val="superscript"/>
    </w:rPr>
  </w:style>
  <w:style w:type="character" w:customStyle="1" w:styleId="52">
    <w:name w:val="标题 2 Char"/>
    <w:link w:val="3"/>
    <w:qFormat/>
    <w:uiPriority w:val="0"/>
    <w:rPr>
      <w:rFonts w:ascii="Arial" w:hAnsi="Arial" w:eastAsia="黑体"/>
      <w:b/>
      <w:bCs/>
      <w:kern w:val="2"/>
      <w:sz w:val="32"/>
      <w:szCs w:val="32"/>
    </w:rPr>
  </w:style>
  <w:style w:type="character" w:customStyle="1" w:styleId="53">
    <w:name w:val="标题 1 Char"/>
    <w:link w:val="2"/>
    <w:qFormat/>
    <w:uiPriority w:val="0"/>
    <w:rPr>
      <w:rFonts w:ascii="Calibri" w:hAnsi="Calibri"/>
      <w:b/>
      <w:bCs/>
      <w:kern w:val="44"/>
      <w:sz w:val="44"/>
      <w:szCs w:val="44"/>
    </w:rPr>
  </w:style>
  <w:style w:type="character" w:customStyle="1" w:styleId="54">
    <w:name w:val="标题 3 Char"/>
    <w:link w:val="4"/>
    <w:qFormat/>
    <w:uiPriority w:val="0"/>
    <w:rPr>
      <w:rFonts w:ascii="Calibri" w:hAnsi="Calibri"/>
      <w:b/>
      <w:bCs/>
      <w:kern w:val="2"/>
      <w:sz w:val="32"/>
      <w:szCs w:val="32"/>
    </w:rPr>
  </w:style>
  <w:style w:type="character" w:customStyle="1" w:styleId="55">
    <w:name w:val="标题 4 Char"/>
    <w:link w:val="5"/>
    <w:qFormat/>
    <w:uiPriority w:val="0"/>
    <w:rPr>
      <w:rFonts w:ascii="Arial" w:hAnsi="Arial" w:eastAsia="黑体"/>
      <w:b/>
      <w:bCs/>
      <w:kern w:val="2"/>
      <w:sz w:val="28"/>
      <w:szCs w:val="28"/>
    </w:rPr>
  </w:style>
  <w:style w:type="character" w:customStyle="1" w:styleId="56">
    <w:name w:val="标题 5 Char"/>
    <w:link w:val="6"/>
    <w:qFormat/>
    <w:uiPriority w:val="0"/>
    <w:rPr>
      <w:rFonts w:ascii="Calibri" w:hAnsi="Calibri"/>
      <w:b/>
      <w:bCs/>
      <w:kern w:val="2"/>
      <w:sz w:val="28"/>
      <w:szCs w:val="28"/>
    </w:rPr>
  </w:style>
  <w:style w:type="character" w:customStyle="1" w:styleId="57">
    <w:name w:val="标题 6 Char"/>
    <w:link w:val="7"/>
    <w:qFormat/>
    <w:uiPriority w:val="0"/>
    <w:rPr>
      <w:rFonts w:ascii="Arial" w:hAnsi="Arial" w:eastAsia="黑体"/>
      <w:b/>
      <w:bCs/>
      <w:kern w:val="2"/>
      <w:sz w:val="24"/>
      <w:szCs w:val="24"/>
    </w:rPr>
  </w:style>
  <w:style w:type="character" w:customStyle="1" w:styleId="58">
    <w:name w:val="标题 7 Char"/>
    <w:link w:val="8"/>
    <w:qFormat/>
    <w:uiPriority w:val="0"/>
    <w:rPr>
      <w:rFonts w:ascii="Calibri" w:hAnsi="Calibri"/>
      <w:b/>
      <w:bCs/>
      <w:kern w:val="2"/>
      <w:sz w:val="24"/>
      <w:szCs w:val="24"/>
    </w:rPr>
  </w:style>
  <w:style w:type="character" w:customStyle="1" w:styleId="59">
    <w:name w:val="标题 8 Char"/>
    <w:link w:val="9"/>
    <w:qFormat/>
    <w:uiPriority w:val="0"/>
    <w:rPr>
      <w:rFonts w:ascii="Arial" w:hAnsi="Arial" w:eastAsia="黑体"/>
      <w:kern w:val="2"/>
      <w:sz w:val="24"/>
      <w:szCs w:val="24"/>
    </w:rPr>
  </w:style>
  <w:style w:type="character" w:customStyle="1" w:styleId="60">
    <w:name w:val="标题 9 Char"/>
    <w:link w:val="10"/>
    <w:qFormat/>
    <w:uiPriority w:val="0"/>
    <w:rPr>
      <w:rFonts w:ascii="Arial" w:hAnsi="Arial" w:eastAsia="黑体"/>
      <w:kern w:val="2"/>
      <w:sz w:val="21"/>
      <w:szCs w:val="21"/>
    </w:rPr>
  </w:style>
  <w:style w:type="character" w:customStyle="1" w:styleId="61">
    <w:name w:val="题注 Char"/>
    <w:link w:val="14"/>
    <w:qFormat/>
    <w:uiPriority w:val="99"/>
    <w:rPr>
      <w:rFonts w:ascii="Arial" w:hAnsi="Arial" w:eastAsia="黑体" w:cs="Arial"/>
      <w:kern w:val="2"/>
    </w:rPr>
  </w:style>
  <w:style w:type="character" w:customStyle="1" w:styleId="62">
    <w:name w:val="文档结构图 Char"/>
    <w:link w:val="16"/>
    <w:semiHidden/>
    <w:qFormat/>
    <w:uiPriority w:val="99"/>
    <w:rPr>
      <w:kern w:val="2"/>
      <w:sz w:val="21"/>
      <w:szCs w:val="24"/>
      <w:shd w:val="clear" w:color="auto" w:fill="000080"/>
    </w:rPr>
  </w:style>
  <w:style w:type="character" w:customStyle="1" w:styleId="63">
    <w:name w:val="正文文本 Char"/>
    <w:link w:val="18"/>
    <w:qFormat/>
    <w:uiPriority w:val="1"/>
    <w:rPr>
      <w:rFonts w:ascii="Calibri" w:hAnsi="Calibri"/>
      <w:kern w:val="2"/>
      <w:sz w:val="21"/>
      <w:szCs w:val="21"/>
    </w:rPr>
  </w:style>
  <w:style w:type="character" w:customStyle="1" w:styleId="64">
    <w:name w:val="尾注文本 Char"/>
    <w:link w:val="25"/>
    <w:semiHidden/>
    <w:qFormat/>
    <w:uiPriority w:val="0"/>
    <w:rPr>
      <w:kern w:val="2"/>
      <w:sz w:val="21"/>
      <w:szCs w:val="24"/>
    </w:rPr>
  </w:style>
  <w:style w:type="character" w:customStyle="1" w:styleId="65">
    <w:name w:val="批注框文本 Char"/>
    <w:link w:val="26"/>
    <w:semiHidden/>
    <w:qFormat/>
    <w:uiPriority w:val="99"/>
    <w:rPr>
      <w:kern w:val="2"/>
      <w:sz w:val="18"/>
      <w:szCs w:val="18"/>
    </w:rPr>
  </w:style>
  <w:style w:type="character" w:customStyle="1" w:styleId="66">
    <w:name w:val="页脚 Char"/>
    <w:link w:val="27"/>
    <w:qFormat/>
    <w:uiPriority w:val="99"/>
    <w:rPr>
      <w:kern w:val="2"/>
      <w:sz w:val="18"/>
      <w:szCs w:val="18"/>
    </w:rPr>
  </w:style>
  <w:style w:type="character" w:customStyle="1" w:styleId="67">
    <w:name w:val="页眉 Char"/>
    <w:link w:val="28"/>
    <w:qFormat/>
    <w:uiPriority w:val="99"/>
    <w:rPr>
      <w:kern w:val="2"/>
      <w:sz w:val="18"/>
      <w:szCs w:val="18"/>
    </w:rPr>
  </w:style>
  <w:style w:type="character" w:customStyle="1" w:styleId="68">
    <w:name w:val="段 Char"/>
    <w:link w:val="33"/>
    <w:qFormat/>
    <w:uiPriority w:val="0"/>
    <w:rPr>
      <w:rFonts w:ascii="宋体"/>
      <w:sz w:val="21"/>
      <w:lang w:val="en-US" w:eastAsia="zh-CN" w:bidi="ar-SA"/>
    </w:rPr>
  </w:style>
  <w:style w:type="character" w:customStyle="1" w:styleId="69">
    <w:name w:val="脚注文本 Char"/>
    <w:link w:val="34"/>
    <w:qFormat/>
    <w:uiPriority w:val="0"/>
    <w:rPr>
      <w:rFonts w:ascii="宋体"/>
      <w:kern w:val="2"/>
      <w:sz w:val="18"/>
      <w:szCs w:val="18"/>
    </w:rPr>
  </w:style>
  <w:style w:type="character" w:customStyle="1" w:styleId="70">
    <w:name w:val="标题 Char"/>
    <w:link w:val="42"/>
    <w:qFormat/>
    <w:uiPriority w:val="0"/>
    <w:rPr>
      <w:rFonts w:ascii="Arial" w:hAnsi="Arial" w:cs="Arial"/>
      <w:b/>
      <w:bCs/>
      <w:kern w:val="2"/>
      <w:sz w:val="32"/>
      <w:szCs w:val="32"/>
    </w:rPr>
  </w:style>
  <w:style w:type="character" w:customStyle="1" w:styleId="71">
    <w:name w:val="访问过的超链接1"/>
    <w:qFormat/>
    <w:uiPriority w:val="0"/>
    <w:rPr>
      <w:color w:val="800080"/>
      <w:u w:val="single"/>
    </w:rPr>
  </w:style>
  <w:style w:type="character" w:customStyle="1" w:styleId="72">
    <w:name w:val="标准文件_段 Char"/>
    <w:link w:val="73"/>
    <w:qFormat/>
    <w:locked/>
    <w:uiPriority w:val="0"/>
    <w:rPr>
      <w:rFonts w:ascii="宋体"/>
      <w:sz w:val="21"/>
      <w:lang w:val="en-US" w:eastAsia="zh-CN" w:bidi="ar-SA"/>
    </w:rPr>
  </w:style>
  <w:style w:type="paragraph" w:customStyle="1" w:styleId="73">
    <w:name w:val="标准文件_段"/>
    <w:link w:val="7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4">
    <w:name w:val="附录公式 Char"/>
    <w:link w:val="75"/>
    <w:qFormat/>
    <w:uiPriority w:val="0"/>
    <w:rPr>
      <w:lang w:val="en-US" w:eastAsia="zh-CN" w:bidi="ar-SA"/>
    </w:rPr>
  </w:style>
  <w:style w:type="paragraph" w:customStyle="1" w:styleId="75">
    <w:name w:val="附录公式"/>
    <w:basedOn w:val="33"/>
    <w:next w:val="33"/>
    <w:link w:val="74"/>
    <w:qFormat/>
    <w:uiPriority w:val="0"/>
    <w:rPr>
      <w:rFonts w:ascii="Times New Roman"/>
      <w:sz w:val="20"/>
    </w:rPr>
  </w:style>
  <w:style w:type="character" w:customStyle="1" w:styleId="76">
    <w:name w:val="发布"/>
    <w:qFormat/>
    <w:uiPriority w:val="0"/>
    <w:rPr>
      <w:rFonts w:ascii="黑体" w:eastAsia="黑体"/>
      <w:spacing w:val="85"/>
      <w:w w:val="100"/>
      <w:position w:val="3"/>
      <w:sz w:val="28"/>
      <w:szCs w:val="28"/>
    </w:rPr>
  </w:style>
  <w:style w:type="character" w:customStyle="1" w:styleId="77">
    <w:name w:val="首示例 Char"/>
    <w:link w:val="78"/>
    <w:qFormat/>
    <w:uiPriority w:val="0"/>
    <w:rPr>
      <w:rFonts w:ascii="宋体" w:hAnsi="宋体"/>
      <w:kern w:val="2"/>
      <w:sz w:val="18"/>
      <w:szCs w:val="18"/>
    </w:rPr>
  </w:style>
  <w:style w:type="paragraph" w:customStyle="1" w:styleId="78">
    <w:name w:val="首示例"/>
    <w:next w:val="33"/>
    <w:link w:val="77"/>
    <w:qFormat/>
    <w:uiPriority w:val="0"/>
    <w:pPr>
      <w:tabs>
        <w:tab w:val="left" w:pos="360"/>
      </w:tabs>
    </w:pPr>
    <w:rPr>
      <w:rFonts w:ascii="宋体" w:hAnsi="宋体" w:eastAsia="宋体" w:cs="Times New Roman"/>
      <w:kern w:val="2"/>
      <w:sz w:val="18"/>
      <w:szCs w:val="18"/>
      <w:lang w:val="en-US" w:eastAsia="zh-CN" w:bidi="ar-SA"/>
    </w:rPr>
  </w:style>
  <w:style w:type="paragraph" w:customStyle="1" w:styleId="79">
    <w:name w:val="前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80">
    <w:name w:val="示例后文字"/>
    <w:basedOn w:val="33"/>
    <w:next w:val="33"/>
    <w:qFormat/>
    <w:uiPriority w:val="0"/>
    <w:pPr>
      <w:ind w:firstLine="360"/>
    </w:pPr>
    <w:rPr>
      <w:sz w:val="18"/>
    </w:rPr>
  </w:style>
  <w:style w:type="paragraph" w:customStyle="1" w:styleId="81">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82">
    <w:name w:val="图标脚注说明"/>
    <w:basedOn w:val="33"/>
    <w:qFormat/>
    <w:uiPriority w:val="0"/>
    <w:pPr>
      <w:ind w:left="840" w:hanging="420" w:firstLineChars="0"/>
    </w:pPr>
    <w:rPr>
      <w:sz w:val="18"/>
      <w:szCs w:val="18"/>
    </w:rPr>
  </w:style>
  <w:style w:type="paragraph" w:customStyle="1" w:styleId="83">
    <w:name w:val="附录二级条标题"/>
    <w:basedOn w:val="1"/>
    <w:next w:val="33"/>
    <w:qFormat/>
    <w:uiPriority w:val="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84">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85">
    <w:name w:val="附录四级无"/>
    <w:basedOn w:val="86"/>
    <w:qFormat/>
    <w:uiPriority w:val="0"/>
    <w:pPr>
      <w:tabs>
        <w:tab w:val="left" w:pos="360"/>
      </w:tabs>
      <w:spacing w:beforeLines="0" w:afterLines="0"/>
    </w:pPr>
    <w:rPr>
      <w:rFonts w:ascii="宋体" w:eastAsia="宋体"/>
      <w:szCs w:val="21"/>
    </w:rPr>
  </w:style>
  <w:style w:type="paragraph" w:customStyle="1" w:styleId="86">
    <w:name w:val="附录四级条标题"/>
    <w:basedOn w:val="87"/>
    <w:next w:val="33"/>
    <w:qFormat/>
    <w:uiPriority w:val="0"/>
    <w:pPr>
      <w:tabs>
        <w:tab w:val="left" w:pos="360"/>
      </w:tabs>
      <w:outlineLvl w:val="5"/>
    </w:pPr>
  </w:style>
  <w:style w:type="paragraph" w:customStyle="1" w:styleId="87">
    <w:name w:val="附录三级条标题"/>
    <w:basedOn w:val="83"/>
    <w:next w:val="33"/>
    <w:qFormat/>
    <w:uiPriority w:val="0"/>
    <w:pPr>
      <w:outlineLvl w:val="4"/>
    </w:pPr>
  </w:style>
  <w:style w:type="paragraph" w:customStyle="1" w:styleId="88">
    <w:name w:val="图表脚注说明"/>
    <w:basedOn w:val="1"/>
    <w:qFormat/>
    <w:uiPriority w:val="0"/>
    <w:pPr>
      <w:ind w:left="544" w:hanging="181"/>
    </w:pPr>
    <w:rPr>
      <w:rFonts w:ascii="宋体"/>
      <w:sz w:val="18"/>
      <w:szCs w:val="18"/>
    </w:rPr>
  </w:style>
  <w:style w:type="paragraph" w:customStyle="1" w:styleId="89">
    <w:name w:val="附录公式编号制表符"/>
    <w:basedOn w:val="1"/>
    <w:next w:val="33"/>
    <w:qFormat/>
    <w:uiPriority w:val="0"/>
    <w:pPr>
      <w:widowControl/>
      <w:tabs>
        <w:tab w:val="center" w:pos="4201"/>
        <w:tab w:val="right" w:leader="dot" w:pos="9298"/>
      </w:tabs>
      <w:autoSpaceDE w:val="0"/>
      <w:autoSpaceDN w:val="0"/>
    </w:pPr>
    <w:rPr>
      <w:rFonts w:ascii="宋体"/>
      <w:kern w:val="0"/>
      <w:szCs w:val="20"/>
    </w:rPr>
  </w:style>
  <w:style w:type="paragraph" w:customStyle="1" w:styleId="90">
    <w:name w:val="其他实施日期"/>
    <w:basedOn w:val="91"/>
    <w:qFormat/>
    <w:uiPriority w:val="0"/>
    <w:pPr>
      <w:framePr w:wrap="around"/>
    </w:pPr>
  </w:style>
  <w:style w:type="paragraph" w:customStyle="1" w:styleId="91">
    <w:name w:val="实施日期"/>
    <w:basedOn w:val="92"/>
    <w:qFormat/>
    <w:uiPriority w:val="0"/>
    <w:pPr>
      <w:framePr w:wrap="around" w:vAnchor="page" w:hAnchor="text"/>
      <w:jc w:val="right"/>
    </w:pPr>
  </w:style>
  <w:style w:type="paragraph" w:customStyle="1" w:styleId="92">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93">
    <w:name w:val="一级条标题"/>
    <w:next w:val="33"/>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94">
    <w:name w:val="示例×："/>
    <w:basedOn w:val="95"/>
    <w:qFormat/>
    <w:uiPriority w:val="0"/>
    <w:pPr>
      <w:spacing w:beforeLines="0" w:afterLines="0"/>
      <w:ind w:firstLine="363"/>
      <w:outlineLvl w:val="9"/>
    </w:pPr>
    <w:rPr>
      <w:rFonts w:ascii="宋体" w:eastAsia="宋体"/>
      <w:sz w:val="18"/>
      <w:szCs w:val="18"/>
    </w:rPr>
  </w:style>
  <w:style w:type="paragraph" w:customStyle="1" w:styleId="95">
    <w:name w:val="章标题"/>
    <w:next w:val="33"/>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96">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97">
    <w:name w:val="示例"/>
    <w:next w:val="98"/>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9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99">
    <w:name w:val="五级无"/>
    <w:basedOn w:val="100"/>
    <w:qFormat/>
    <w:uiPriority w:val="0"/>
    <w:pPr>
      <w:spacing w:beforeLines="0" w:afterLines="0"/>
    </w:pPr>
    <w:rPr>
      <w:rFonts w:ascii="宋体" w:eastAsia="宋体"/>
    </w:rPr>
  </w:style>
  <w:style w:type="paragraph" w:customStyle="1" w:styleId="100">
    <w:name w:val="五级条标题"/>
    <w:basedOn w:val="101"/>
    <w:next w:val="33"/>
    <w:qFormat/>
    <w:uiPriority w:val="0"/>
    <w:pPr>
      <w:outlineLvl w:val="6"/>
    </w:pPr>
  </w:style>
  <w:style w:type="paragraph" w:customStyle="1" w:styleId="101">
    <w:name w:val="四级条标题"/>
    <w:basedOn w:val="102"/>
    <w:next w:val="33"/>
    <w:qFormat/>
    <w:uiPriority w:val="0"/>
    <w:pPr>
      <w:outlineLvl w:val="5"/>
    </w:pPr>
  </w:style>
  <w:style w:type="paragraph" w:customStyle="1" w:styleId="102">
    <w:name w:val="三级条标题"/>
    <w:basedOn w:val="103"/>
    <w:next w:val="33"/>
    <w:qFormat/>
    <w:uiPriority w:val="0"/>
    <w:pPr>
      <w:outlineLvl w:val="4"/>
    </w:pPr>
  </w:style>
  <w:style w:type="paragraph" w:customStyle="1" w:styleId="103">
    <w:name w:val="二级条标题"/>
    <w:basedOn w:val="93"/>
    <w:next w:val="33"/>
    <w:qFormat/>
    <w:uiPriority w:val="0"/>
    <w:pPr>
      <w:spacing w:before="50" w:after="50"/>
      <w:outlineLvl w:val="3"/>
    </w:pPr>
  </w:style>
  <w:style w:type="paragraph" w:customStyle="1" w:styleId="104">
    <w:name w:val="目次、标准名称标题"/>
    <w:basedOn w:val="1"/>
    <w:next w:val="33"/>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05">
    <w:name w:val="封面正文"/>
    <w:qFormat/>
    <w:uiPriority w:val="0"/>
    <w:pPr>
      <w:jc w:val="both"/>
    </w:pPr>
    <w:rPr>
      <w:rFonts w:ascii="Times New Roman" w:hAnsi="Times New Roman" w:eastAsia="宋体" w:cs="Times New Roman"/>
      <w:lang w:val="en-US" w:eastAsia="zh-CN" w:bidi="ar-SA"/>
    </w:rPr>
  </w:style>
  <w:style w:type="paragraph" w:customStyle="1" w:styleId="10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07">
    <w:name w:val="附录五级条标题"/>
    <w:basedOn w:val="86"/>
    <w:next w:val="33"/>
    <w:qFormat/>
    <w:uiPriority w:val="0"/>
    <w:pPr>
      <w:outlineLvl w:val="6"/>
    </w:pPr>
  </w:style>
  <w:style w:type="paragraph" w:customStyle="1" w:styleId="108">
    <w:name w:val="封面一致性程度标识"/>
    <w:basedOn w:val="109"/>
    <w:qFormat/>
    <w:uiPriority w:val="0"/>
    <w:pPr>
      <w:framePr w:wrap="around"/>
      <w:spacing w:before="440"/>
    </w:pPr>
    <w:rPr>
      <w:rFonts w:ascii="宋体" w:eastAsia="宋体"/>
    </w:rPr>
  </w:style>
  <w:style w:type="paragraph" w:customStyle="1" w:styleId="109">
    <w:name w:val="封面标准英文名称"/>
    <w:basedOn w:val="110"/>
    <w:qFormat/>
    <w:uiPriority w:val="0"/>
    <w:pPr>
      <w:framePr w:wrap="around"/>
      <w:spacing w:before="370" w:line="400" w:lineRule="exact"/>
    </w:pPr>
    <w:rPr>
      <w:rFonts w:ascii="Times New Roman"/>
      <w:sz w:val="28"/>
      <w:szCs w:val="28"/>
    </w:rPr>
  </w:style>
  <w:style w:type="paragraph" w:customStyle="1" w:styleId="11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1">
    <w:name w:val="终结线"/>
    <w:basedOn w:val="1"/>
    <w:qFormat/>
    <w:uiPriority w:val="0"/>
    <w:pPr>
      <w:framePr w:hSpace="181" w:vSpace="181" w:wrap="around" w:vAnchor="text" w:hAnchor="margin" w:xAlign="center" w:y="285"/>
    </w:pPr>
  </w:style>
  <w:style w:type="paragraph" w:customStyle="1" w:styleId="112">
    <w:name w:val="封面标准文稿编辑信息2"/>
    <w:basedOn w:val="113"/>
    <w:qFormat/>
    <w:uiPriority w:val="0"/>
    <w:pPr>
      <w:framePr w:wrap="around" w:y="4469"/>
    </w:pPr>
  </w:style>
  <w:style w:type="paragraph" w:customStyle="1" w:styleId="113">
    <w:name w:val="封面标准文稿编辑信息"/>
    <w:basedOn w:val="114"/>
    <w:qFormat/>
    <w:uiPriority w:val="0"/>
    <w:pPr>
      <w:framePr w:wrap="around"/>
      <w:spacing w:before="180" w:line="180" w:lineRule="exact"/>
    </w:pPr>
    <w:rPr>
      <w:sz w:val="21"/>
    </w:rPr>
  </w:style>
  <w:style w:type="paragraph" w:customStyle="1" w:styleId="114">
    <w:name w:val="封面标准文稿类别"/>
    <w:basedOn w:val="108"/>
    <w:qFormat/>
    <w:uiPriority w:val="0"/>
    <w:pPr>
      <w:framePr w:wrap="around"/>
      <w:spacing w:after="160" w:line="240" w:lineRule="auto"/>
    </w:pPr>
    <w:rPr>
      <w:sz w:val="24"/>
    </w:rPr>
  </w:style>
  <w:style w:type="paragraph" w:customStyle="1" w:styleId="115">
    <w:name w:val="前言、引言标题"/>
    <w:next w:val="33"/>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6">
    <w:name w:val="标准书眉一"/>
    <w:qFormat/>
    <w:uiPriority w:val="0"/>
    <w:pPr>
      <w:jc w:val="both"/>
    </w:pPr>
    <w:rPr>
      <w:rFonts w:ascii="Times New Roman" w:hAnsi="Times New Roman" w:eastAsia="宋体" w:cs="Times New Roman"/>
      <w:lang w:val="en-US" w:eastAsia="zh-CN" w:bidi="ar-SA"/>
    </w:rPr>
  </w:style>
  <w:style w:type="paragraph" w:customStyle="1" w:styleId="117">
    <w:name w:val="标准文件_二级无标题"/>
    <w:basedOn w:val="118"/>
    <w:qFormat/>
    <w:uiPriority w:val="0"/>
    <w:pPr>
      <w:spacing w:beforeLines="0" w:afterLines="0"/>
      <w:outlineLvl w:val="9"/>
    </w:pPr>
    <w:rPr>
      <w:rFonts w:ascii="宋体" w:eastAsia="宋体"/>
    </w:rPr>
  </w:style>
  <w:style w:type="paragraph" w:customStyle="1" w:styleId="118">
    <w:name w:val="标准文件_二级条标题"/>
    <w:next w:val="73"/>
    <w:qFormat/>
    <w:uiPriority w:val="0"/>
    <w:pPr>
      <w:widowControl w:val="0"/>
      <w:spacing w:beforeLines="50" w:afterLines="50"/>
      <w:ind w:left="851"/>
      <w:jc w:val="both"/>
      <w:outlineLvl w:val="2"/>
    </w:pPr>
    <w:rPr>
      <w:rFonts w:ascii="黑体" w:hAnsi="Times New Roman" w:eastAsia="黑体" w:cs="Times New Roman"/>
      <w:sz w:val="21"/>
      <w:lang w:val="en-US" w:eastAsia="zh-CN" w:bidi="ar-SA"/>
    </w:rPr>
  </w:style>
  <w:style w:type="paragraph" w:customStyle="1" w:styleId="119">
    <w:name w:val="正文表标题"/>
    <w:next w:val="33"/>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2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21">
    <w:name w:val="其他发布日期"/>
    <w:basedOn w:val="92"/>
    <w:qFormat/>
    <w:uiPriority w:val="0"/>
    <w:pPr>
      <w:framePr w:wrap="around" w:vAnchor="page" w:hAnchor="text" w:x="1419"/>
    </w:pPr>
  </w:style>
  <w:style w:type="paragraph" w:customStyle="1" w:styleId="12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23">
    <w:name w:val="发布部门"/>
    <w:next w:val="33"/>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4">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25">
    <w:name w:val="标准文件_一级无标题"/>
    <w:basedOn w:val="126"/>
    <w:qFormat/>
    <w:uiPriority w:val="0"/>
    <w:pPr>
      <w:spacing w:beforeLines="0" w:afterLines="0"/>
      <w:outlineLvl w:val="9"/>
    </w:pPr>
    <w:rPr>
      <w:rFonts w:ascii="宋体" w:eastAsia="宋体"/>
    </w:rPr>
  </w:style>
  <w:style w:type="paragraph" w:customStyle="1" w:styleId="126">
    <w:name w:val="标准文件_一级条标题"/>
    <w:basedOn w:val="127"/>
    <w:next w:val="73"/>
    <w:qFormat/>
    <w:uiPriority w:val="0"/>
    <w:pPr>
      <w:spacing w:beforeLines="50" w:afterLines="50"/>
      <w:outlineLvl w:val="1"/>
    </w:pPr>
  </w:style>
  <w:style w:type="paragraph" w:customStyle="1" w:styleId="127">
    <w:name w:val="标准文件_章标题"/>
    <w:next w:val="73"/>
    <w:qFormat/>
    <w:uiPriority w:val="0"/>
    <w:pPr>
      <w:spacing w:beforeLines="100" w:afterLines="100"/>
      <w:jc w:val="both"/>
      <w:outlineLvl w:val="0"/>
    </w:pPr>
    <w:rPr>
      <w:rFonts w:ascii="黑体" w:hAnsi="Times New Roman" w:eastAsia="黑体" w:cs="Times New Roman"/>
      <w:sz w:val="21"/>
      <w:lang w:val="en-US" w:eastAsia="zh-CN" w:bidi="ar-SA"/>
    </w:rPr>
  </w:style>
  <w:style w:type="paragraph" w:customStyle="1" w:styleId="128">
    <w:name w:val="参考文献"/>
    <w:basedOn w:val="1"/>
    <w:next w:val="3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2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30">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131">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32">
    <w:name w:val="正文公式编号制表符"/>
    <w:basedOn w:val="33"/>
    <w:next w:val="33"/>
    <w:qFormat/>
    <w:uiPriority w:val="0"/>
    <w:pPr>
      <w:ind w:firstLine="0" w:firstLineChars="0"/>
    </w:pPr>
  </w:style>
  <w:style w:type="paragraph" w:customStyle="1" w:styleId="133">
    <w:name w:val="附录表标号"/>
    <w:basedOn w:val="1"/>
    <w:next w:val="33"/>
    <w:qFormat/>
    <w:uiPriority w:val="0"/>
    <w:pPr>
      <w:spacing w:line="14" w:lineRule="exact"/>
      <w:ind w:left="811" w:hanging="448"/>
      <w:jc w:val="center"/>
      <w:outlineLvl w:val="0"/>
    </w:pPr>
    <w:rPr>
      <w:color w:val="FFFFFF"/>
    </w:rPr>
  </w:style>
  <w:style w:type="paragraph" w:customStyle="1" w:styleId="134">
    <w:name w:val="注："/>
    <w:next w:val="33"/>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135">
    <w:name w:val="注：（正文）"/>
    <w:basedOn w:val="134"/>
    <w:next w:val="33"/>
    <w:qFormat/>
    <w:uiPriority w:val="0"/>
  </w:style>
  <w:style w:type="paragraph" w:customStyle="1" w:styleId="136">
    <w:name w:val="封面一致性程度标识2"/>
    <w:basedOn w:val="108"/>
    <w:qFormat/>
    <w:uiPriority w:val="0"/>
    <w:pPr>
      <w:framePr w:wrap="around" w:y="4469"/>
    </w:pPr>
  </w:style>
  <w:style w:type="paragraph" w:customStyle="1" w:styleId="137">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38">
    <w:name w:val="列项◆（三级）"/>
    <w:basedOn w:val="1"/>
    <w:qFormat/>
    <w:uiPriority w:val="0"/>
    <w:pPr>
      <w:tabs>
        <w:tab w:val="left" w:pos="1678"/>
      </w:tabs>
      <w:ind w:left="1678" w:hanging="414"/>
    </w:pPr>
    <w:rPr>
      <w:rFonts w:ascii="宋体"/>
      <w:szCs w:val="21"/>
    </w:rPr>
  </w:style>
  <w:style w:type="paragraph" w:customStyle="1" w:styleId="139">
    <w:name w:val="附录图标号"/>
    <w:basedOn w:val="1"/>
    <w:qFormat/>
    <w:uiPriority w:val="0"/>
    <w:pPr>
      <w:keepNext/>
      <w:pageBreakBefore/>
      <w:widowControl/>
      <w:spacing w:line="14" w:lineRule="exact"/>
      <w:ind w:firstLine="363"/>
      <w:jc w:val="center"/>
      <w:outlineLvl w:val="0"/>
    </w:pPr>
    <w:rPr>
      <w:color w:val="FFFFFF"/>
    </w:rPr>
  </w:style>
  <w:style w:type="paragraph" w:customStyle="1" w:styleId="140">
    <w:name w:val="标准文件_一级项"/>
    <w:qFormat/>
    <w:uiPriority w:val="0"/>
    <w:pPr>
      <w:tabs>
        <w:tab w:val="left" w:pos="1135"/>
      </w:tabs>
      <w:ind w:left="1135" w:hanging="426"/>
    </w:pPr>
    <w:rPr>
      <w:rFonts w:ascii="宋体" w:hAnsi="Times New Roman" w:eastAsia="宋体" w:cs="Times New Roman"/>
      <w:sz w:val="21"/>
      <w:lang w:val="en-US" w:eastAsia="zh-CN" w:bidi="ar-SA"/>
    </w:rPr>
  </w:style>
  <w:style w:type="paragraph" w:customStyle="1" w:styleId="141">
    <w:name w:val="附录表标题"/>
    <w:basedOn w:val="1"/>
    <w:next w:val="33"/>
    <w:qFormat/>
    <w:uiPriority w:val="0"/>
    <w:pPr>
      <w:tabs>
        <w:tab w:val="left" w:pos="180"/>
      </w:tabs>
      <w:spacing w:beforeLines="50" w:afterLines="50"/>
      <w:jc w:val="center"/>
    </w:pPr>
    <w:rPr>
      <w:rFonts w:ascii="黑体" w:eastAsia="黑体"/>
      <w:szCs w:val="21"/>
    </w:rPr>
  </w:style>
  <w:style w:type="paragraph" w:customStyle="1" w:styleId="142">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43">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44">
    <w:name w:val="标准文件_术语条一"/>
    <w:basedOn w:val="125"/>
    <w:next w:val="73"/>
    <w:qFormat/>
    <w:uiPriority w:val="0"/>
  </w:style>
  <w:style w:type="paragraph" w:customStyle="1" w:styleId="145">
    <w:name w:val="一级无"/>
    <w:basedOn w:val="93"/>
    <w:qFormat/>
    <w:uiPriority w:val="0"/>
    <w:pPr>
      <w:spacing w:beforeLines="0" w:afterLines="0"/>
    </w:pPr>
    <w:rPr>
      <w:rFonts w:ascii="宋体" w:eastAsia="宋体"/>
    </w:rPr>
  </w:style>
  <w:style w:type="paragraph" w:customStyle="1" w:styleId="146">
    <w:name w:val="二级无"/>
    <w:basedOn w:val="103"/>
    <w:qFormat/>
    <w:uiPriority w:val="0"/>
    <w:pPr>
      <w:spacing w:beforeLines="0" w:afterLines="0"/>
    </w:pPr>
    <w:rPr>
      <w:rFonts w:ascii="宋体" w:eastAsia="宋体"/>
    </w:rPr>
  </w:style>
  <w:style w:type="paragraph" w:customStyle="1" w:styleId="147">
    <w:name w:val="正文图标题"/>
    <w:next w:val="33"/>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49">
    <w:name w:val="标准文件_二级项2"/>
    <w:basedOn w:val="73"/>
    <w:qFormat/>
    <w:uiPriority w:val="0"/>
    <w:pPr>
      <w:ind w:left="1271" w:hanging="420" w:firstLineChars="0"/>
    </w:pPr>
  </w:style>
  <w:style w:type="paragraph" w:customStyle="1" w:styleId="150">
    <w:name w:val="附录二级无"/>
    <w:basedOn w:val="83"/>
    <w:qFormat/>
    <w:uiPriority w:val="0"/>
    <w:pPr>
      <w:tabs>
        <w:tab w:val="clear" w:pos="360"/>
      </w:tabs>
      <w:spacing w:beforeLines="0" w:afterLines="0"/>
    </w:pPr>
    <w:rPr>
      <w:rFonts w:ascii="宋体" w:eastAsia="宋体"/>
      <w:szCs w:val="21"/>
    </w:rPr>
  </w:style>
  <w:style w:type="paragraph" w:customStyle="1" w:styleId="151">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52">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153">
    <w:name w:val="标准文件_三级项"/>
    <w:basedOn w:val="1"/>
    <w:qFormat/>
    <w:uiPriority w:val="0"/>
    <w:pPr>
      <w:adjustRightInd w:val="0"/>
      <w:spacing w:line="300" w:lineRule="exact"/>
      <w:ind w:left="1135" w:hanging="426"/>
    </w:pPr>
    <w:rPr>
      <w:szCs w:val="21"/>
    </w:rPr>
  </w:style>
  <w:style w:type="paragraph" w:customStyle="1" w:styleId="154">
    <w:name w:val="列项——（一级）"/>
    <w:qFormat/>
    <w:uiPriority w:val="0"/>
    <w:pPr>
      <w:widowControl w:val="0"/>
      <w:ind w:left="975" w:hanging="408"/>
      <w:jc w:val="both"/>
    </w:pPr>
    <w:rPr>
      <w:rFonts w:ascii="宋体" w:hAnsi="Times New Roman" w:eastAsia="宋体" w:cs="Times New Roman"/>
      <w:sz w:val="21"/>
      <w:lang w:val="en-US" w:eastAsia="zh-CN" w:bidi="ar-SA"/>
    </w:rPr>
  </w:style>
  <w:style w:type="paragraph" w:customStyle="1" w:styleId="155">
    <w:name w:val="附录一级条标题"/>
    <w:basedOn w:val="156"/>
    <w:next w:val="33"/>
    <w:qFormat/>
    <w:uiPriority w:val="0"/>
    <w:pPr>
      <w:tabs>
        <w:tab w:val="left" w:pos="360"/>
      </w:tabs>
      <w:autoSpaceDN w:val="0"/>
      <w:spacing w:beforeLines="50" w:afterLines="50"/>
      <w:outlineLvl w:val="2"/>
    </w:pPr>
  </w:style>
  <w:style w:type="paragraph" w:customStyle="1" w:styleId="156">
    <w:name w:val="附录章标题"/>
    <w:next w:val="33"/>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57">
    <w:name w:val="标准书眉_偶数页"/>
    <w:basedOn w:val="106"/>
    <w:next w:val="1"/>
    <w:qFormat/>
    <w:uiPriority w:val="0"/>
    <w:pPr>
      <w:jc w:val="left"/>
    </w:pPr>
  </w:style>
  <w:style w:type="paragraph" w:customStyle="1" w:styleId="158">
    <w:name w:val="附录五级无"/>
    <w:basedOn w:val="107"/>
    <w:qFormat/>
    <w:uiPriority w:val="0"/>
    <w:pPr>
      <w:tabs>
        <w:tab w:val="clear" w:pos="360"/>
      </w:tabs>
      <w:spacing w:beforeLines="0" w:afterLines="0"/>
    </w:pPr>
    <w:rPr>
      <w:rFonts w:ascii="宋体" w:eastAsia="宋体"/>
      <w:szCs w:val="21"/>
    </w:rPr>
  </w:style>
  <w:style w:type="paragraph" w:customStyle="1" w:styleId="159">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60">
    <w:name w:val="条文脚注"/>
    <w:basedOn w:val="34"/>
    <w:qFormat/>
    <w:uiPriority w:val="0"/>
    <w:pPr>
      <w:ind w:left="0" w:firstLine="0"/>
      <w:jc w:val="both"/>
    </w:pPr>
  </w:style>
  <w:style w:type="paragraph" w:customStyle="1" w:styleId="161">
    <w:name w:val="参考文献、索引标题"/>
    <w:basedOn w:val="1"/>
    <w:next w:val="3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62">
    <w:name w:val="标准文件_四级条标题"/>
    <w:next w:val="73"/>
    <w:qFormat/>
    <w:uiPriority w:val="0"/>
    <w:pPr>
      <w:widowControl w:val="0"/>
      <w:spacing w:beforeLines="50" w:afterLines="50"/>
      <w:jc w:val="both"/>
      <w:outlineLvl w:val="4"/>
    </w:pPr>
    <w:rPr>
      <w:rFonts w:ascii="黑体" w:hAnsi="Times New Roman" w:eastAsia="黑体" w:cs="Times New Roman"/>
      <w:sz w:val="21"/>
      <w:lang w:val="en-US" w:eastAsia="zh-CN" w:bidi="ar-SA"/>
    </w:rPr>
  </w:style>
  <w:style w:type="paragraph" w:customStyle="1" w:styleId="16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6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65">
    <w:name w:val="封面标准英文名称2"/>
    <w:basedOn w:val="109"/>
    <w:qFormat/>
    <w:uiPriority w:val="0"/>
    <w:pPr>
      <w:framePr w:wrap="around" w:y="4469"/>
    </w:pPr>
  </w:style>
  <w:style w:type="paragraph" w:customStyle="1" w:styleId="166">
    <w:name w:val="四级无"/>
    <w:basedOn w:val="101"/>
    <w:qFormat/>
    <w:uiPriority w:val="0"/>
    <w:pPr>
      <w:spacing w:beforeLines="0" w:afterLines="0"/>
    </w:pPr>
    <w:rPr>
      <w:rFonts w:ascii="宋体" w:eastAsia="宋体"/>
    </w:rPr>
  </w:style>
  <w:style w:type="paragraph" w:customStyle="1" w:styleId="167">
    <w:name w:val="附录标识"/>
    <w:basedOn w:val="1"/>
    <w:next w:val="33"/>
    <w:qFormat/>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6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69">
    <w:name w:val="附录标题"/>
    <w:basedOn w:val="33"/>
    <w:next w:val="33"/>
    <w:qFormat/>
    <w:uiPriority w:val="0"/>
    <w:pPr>
      <w:ind w:firstLine="0" w:firstLineChars="0"/>
      <w:jc w:val="center"/>
    </w:pPr>
    <w:rPr>
      <w:rFonts w:ascii="黑体" w:eastAsia="黑体"/>
    </w:rPr>
  </w:style>
  <w:style w:type="paragraph" w:customStyle="1" w:styleId="170">
    <w:name w:val="附录三级无"/>
    <w:basedOn w:val="87"/>
    <w:qFormat/>
    <w:uiPriority w:val="0"/>
    <w:pPr>
      <w:tabs>
        <w:tab w:val="clear" w:pos="360"/>
      </w:tabs>
      <w:spacing w:beforeLines="0" w:afterLines="0"/>
    </w:pPr>
    <w:rPr>
      <w:rFonts w:ascii="宋体" w:eastAsia="宋体"/>
      <w:szCs w:val="21"/>
    </w:rPr>
  </w:style>
  <w:style w:type="paragraph" w:customStyle="1" w:styleId="171">
    <w:name w:val="附录图标题"/>
    <w:basedOn w:val="1"/>
    <w:next w:val="33"/>
    <w:qFormat/>
    <w:uiPriority w:val="0"/>
    <w:pPr>
      <w:tabs>
        <w:tab w:val="left" w:pos="363"/>
      </w:tabs>
      <w:spacing w:beforeLines="50" w:afterLines="50"/>
      <w:jc w:val="center"/>
    </w:pPr>
    <w:rPr>
      <w:rFonts w:ascii="黑体" w:eastAsia="黑体"/>
      <w:szCs w:val="21"/>
    </w:rPr>
  </w:style>
  <w:style w:type="paragraph" w:customStyle="1" w:styleId="172">
    <w:name w:val="封面标准文稿类别2"/>
    <w:basedOn w:val="114"/>
    <w:qFormat/>
    <w:uiPriority w:val="0"/>
    <w:pPr>
      <w:framePr w:wrap="around" w:y="4469"/>
    </w:pPr>
  </w:style>
  <w:style w:type="paragraph" w:customStyle="1" w:styleId="173">
    <w:name w:val="附录一级无"/>
    <w:basedOn w:val="155"/>
    <w:qFormat/>
    <w:uiPriority w:val="0"/>
    <w:pPr>
      <w:tabs>
        <w:tab w:val="clear" w:pos="360"/>
      </w:tabs>
      <w:spacing w:beforeLines="0" w:afterLines="0"/>
    </w:pPr>
    <w:rPr>
      <w:rFonts w:ascii="宋体" w:eastAsia="宋体"/>
      <w:szCs w:val="21"/>
    </w:rPr>
  </w:style>
  <w:style w:type="paragraph" w:customStyle="1" w:styleId="174">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175">
    <w:name w:val="其他标准标志"/>
    <w:basedOn w:val="143"/>
    <w:qFormat/>
    <w:uiPriority w:val="0"/>
    <w:pPr>
      <w:framePr w:w="6101" w:wrap="around" w:vAnchor="page" w:hAnchor="page" w:x="4673" w:y="942"/>
    </w:pPr>
    <w:rPr>
      <w:w w:val="130"/>
    </w:rPr>
  </w:style>
  <w:style w:type="paragraph" w:customStyle="1" w:styleId="176">
    <w:name w:val="标准文件_五级条标题"/>
    <w:next w:val="73"/>
    <w:qFormat/>
    <w:uiPriority w:val="0"/>
    <w:pPr>
      <w:widowControl w:val="0"/>
      <w:spacing w:beforeLines="50" w:afterLines="50"/>
      <w:jc w:val="both"/>
      <w:outlineLvl w:val="5"/>
    </w:pPr>
    <w:rPr>
      <w:rFonts w:ascii="黑体" w:hAnsi="Times New Roman" w:eastAsia="黑体" w:cs="Times New Roman"/>
      <w:sz w:val="21"/>
      <w:lang w:val="en-US" w:eastAsia="zh-CN" w:bidi="ar-SA"/>
    </w:rPr>
  </w:style>
  <w:style w:type="paragraph" w:customStyle="1" w:styleId="177">
    <w:name w:val="其他发布部门"/>
    <w:basedOn w:val="123"/>
    <w:qFormat/>
    <w:uiPriority w:val="0"/>
    <w:pPr>
      <w:framePr w:wrap="around" w:y="15310"/>
      <w:spacing w:line="0" w:lineRule="atLeast"/>
    </w:pPr>
    <w:rPr>
      <w:rFonts w:ascii="黑体" w:eastAsia="黑体"/>
      <w:b w:val="0"/>
    </w:rPr>
  </w:style>
  <w:style w:type="paragraph" w:customStyle="1" w:styleId="178">
    <w:name w:val="三级无"/>
    <w:basedOn w:val="102"/>
    <w:qFormat/>
    <w:uiPriority w:val="0"/>
    <w:pPr>
      <w:spacing w:beforeLines="0" w:afterLines="0"/>
    </w:pPr>
    <w:rPr>
      <w:rFonts w:ascii="宋体" w:eastAsia="宋体"/>
    </w:rPr>
  </w:style>
  <w:style w:type="paragraph" w:customStyle="1" w:styleId="179">
    <w:name w:val="图的脚注"/>
    <w:next w:val="3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80">
    <w:name w:val="封面标准名称2"/>
    <w:basedOn w:val="110"/>
    <w:qFormat/>
    <w:uiPriority w:val="0"/>
    <w:pPr>
      <w:framePr w:wrap="around" w:y="4469"/>
      <w:spacing w:beforeLines="630"/>
    </w:pPr>
  </w:style>
  <w:style w:type="paragraph" w:customStyle="1" w:styleId="181">
    <w:name w:val="标准文件_三级条标题"/>
    <w:basedOn w:val="118"/>
    <w:next w:val="73"/>
    <w:qFormat/>
    <w:uiPriority w:val="0"/>
    <w:pPr>
      <w:widowControl/>
      <w:ind w:left="0"/>
      <w:outlineLvl w:val="3"/>
    </w:pPr>
  </w:style>
  <w:style w:type="paragraph" w:customStyle="1" w:styleId="182">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83">
    <w:name w:val="标准文件_附录标识"/>
    <w:next w:val="73"/>
    <w:qFormat/>
    <w:uiPriority w:val="0"/>
    <w:pPr>
      <w:shd w:val="clear" w:color="FFFFFF" w:fill="FFFFFF"/>
      <w:tabs>
        <w:tab w:val="left" w:pos="6406"/>
      </w:tabs>
      <w:spacing w:beforeLines="25" w:afterLines="50"/>
      <w:jc w:val="center"/>
      <w:outlineLvl w:val="0"/>
    </w:pPr>
    <w:rPr>
      <w:rFonts w:ascii="黑体" w:hAnsi="Times New Roman" w:eastAsia="黑体" w:cs="Times New Roman"/>
      <w:sz w:val="21"/>
      <w:lang w:val="en-US" w:eastAsia="zh-CN" w:bidi="ar-SA"/>
    </w:rPr>
  </w:style>
  <w:style w:type="paragraph" w:customStyle="1" w:styleId="184">
    <w:name w:val="标准文件_附录一级条标题"/>
    <w:next w:val="73"/>
    <w:qFormat/>
    <w:uiPriority w:val="0"/>
    <w:pPr>
      <w:widowControl w:val="0"/>
      <w:spacing w:beforeLines="50" w:afterLines="50"/>
      <w:jc w:val="both"/>
      <w:outlineLvl w:val="2"/>
    </w:pPr>
    <w:rPr>
      <w:rFonts w:ascii="黑体" w:hAnsi="Times New Roman" w:eastAsia="黑体" w:cs="Times New Roman"/>
      <w:kern w:val="21"/>
      <w:sz w:val="21"/>
      <w:lang w:val="en-US" w:eastAsia="zh-CN" w:bidi="ar-SA"/>
    </w:rPr>
  </w:style>
  <w:style w:type="paragraph" w:customStyle="1" w:styleId="185">
    <w:name w:val="标准文件_附录二级条标题"/>
    <w:basedOn w:val="184"/>
    <w:next w:val="73"/>
    <w:qFormat/>
    <w:uiPriority w:val="0"/>
    <w:pPr>
      <w:widowControl/>
      <w:wordWrap w:val="0"/>
      <w:overflowPunct w:val="0"/>
      <w:autoSpaceDE w:val="0"/>
      <w:autoSpaceDN w:val="0"/>
      <w:textAlignment w:val="baseline"/>
      <w:outlineLvl w:val="3"/>
    </w:pPr>
  </w:style>
  <w:style w:type="paragraph" w:customStyle="1" w:styleId="186">
    <w:name w:val="标准文件_附录三级条标题"/>
    <w:next w:val="73"/>
    <w:qFormat/>
    <w:uiPriority w:val="0"/>
    <w:pPr>
      <w:widowControl w:val="0"/>
      <w:spacing w:beforeLines="50" w:afterLines="50"/>
      <w:jc w:val="both"/>
      <w:outlineLvl w:val="4"/>
    </w:pPr>
    <w:rPr>
      <w:rFonts w:ascii="黑体" w:hAnsi="Times New Roman" w:eastAsia="黑体" w:cs="Times New Roman"/>
      <w:kern w:val="21"/>
      <w:sz w:val="21"/>
      <w:lang w:val="en-US" w:eastAsia="zh-CN" w:bidi="ar-SA"/>
    </w:rPr>
  </w:style>
  <w:style w:type="paragraph" w:customStyle="1" w:styleId="187">
    <w:name w:val="标准文件_附录四级条标题"/>
    <w:next w:val="73"/>
    <w:qFormat/>
    <w:uiPriority w:val="0"/>
    <w:pPr>
      <w:widowControl w:val="0"/>
      <w:spacing w:beforeLines="50" w:afterLines="50"/>
      <w:jc w:val="both"/>
      <w:outlineLvl w:val="5"/>
    </w:pPr>
    <w:rPr>
      <w:rFonts w:ascii="黑体" w:hAnsi="Times New Roman" w:eastAsia="黑体" w:cs="Times New Roman"/>
      <w:kern w:val="21"/>
      <w:sz w:val="21"/>
      <w:lang w:val="en-US" w:eastAsia="zh-CN" w:bidi="ar-SA"/>
    </w:rPr>
  </w:style>
  <w:style w:type="paragraph" w:customStyle="1" w:styleId="188">
    <w:name w:val="标准文件_附录五级条标题"/>
    <w:next w:val="73"/>
    <w:qFormat/>
    <w:uiPriority w:val="0"/>
    <w:pPr>
      <w:widowControl w:val="0"/>
      <w:spacing w:beforeLines="50" w:afterLines="50"/>
      <w:jc w:val="both"/>
      <w:outlineLvl w:val="6"/>
    </w:pPr>
    <w:rPr>
      <w:rFonts w:ascii="黑体" w:hAnsi="Times New Roman" w:eastAsia="黑体" w:cs="Times New Roman"/>
      <w:kern w:val="21"/>
      <w:sz w:val="21"/>
      <w:lang w:val="en-US" w:eastAsia="zh-CN" w:bidi="ar-SA"/>
    </w:rPr>
  </w:style>
  <w:style w:type="paragraph" w:styleId="189">
    <w:name w:val="Quote"/>
    <w:basedOn w:val="1"/>
    <w:next w:val="1"/>
    <w:link w:val="190"/>
    <w:qFormat/>
    <w:uiPriority w:val="29"/>
    <w:pPr>
      <w:adjustRightInd w:val="0"/>
      <w:spacing w:line="400" w:lineRule="exact"/>
    </w:pPr>
    <w:rPr>
      <w:rFonts w:ascii="Calibri" w:hAnsi="Calibri"/>
      <w:i/>
      <w:iCs/>
      <w:color w:val="000000"/>
      <w:szCs w:val="21"/>
    </w:rPr>
  </w:style>
  <w:style w:type="character" w:customStyle="1" w:styleId="190">
    <w:name w:val="引用 Char"/>
    <w:link w:val="189"/>
    <w:qFormat/>
    <w:uiPriority w:val="29"/>
    <w:rPr>
      <w:rFonts w:ascii="Calibri" w:hAnsi="Calibri"/>
      <w:i/>
      <w:iCs/>
      <w:color w:val="000000"/>
      <w:kern w:val="2"/>
      <w:sz w:val="21"/>
      <w:szCs w:val="21"/>
    </w:rPr>
  </w:style>
  <w:style w:type="paragraph" w:customStyle="1" w:styleId="191">
    <w:name w:val="标准文件_页脚偶数页"/>
    <w:qFormat/>
    <w:uiPriority w:val="0"/>
    <w:pPr>
      <w:ind w:left="227"/>
    </w:pPr>
    <w:rPr>
      <w:rFonts w:ascii="宋体" w:hAnsi="Times New Roman" w:eastAsia="宋体" w:cs="Times New Roman"/>
      <w:sz w:val="18"/>
      <w:lang w:val="en-US" w:eastAsia="zh-CN" w:bidi="ar-SA"/>
    </w:rPr>
  </w:style>
  <w:style w:type="paragraph" w:customStyle="1" w:styleId="19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193">
    <w:name w:val="标准文件_ICS"/>
    <w:basedOn w:val="1"/>
    <w:qFormat/>
    <w:uiPriority w:val="0"/>
    <w:pPr>
      <w:adjustRightInd w:val="0"/>
      <w:spacing w:line="0" w:lineRule="atLeast"/>
    </w:pPr>
    <w:rPr>
      <w:rFonts w:ascii="黑体" w:hAnsi="宋体" w:eastAsia="黑体"/>
      <w:szCs w:val="21"/>
    </w:rPr>
  </w:style>
  <w:style w:type="paragraph" w:customStyle="1" w:styleId="194">
    <w:name w:val="标准文件_标准正文"/>
    <w:basedOn w:val="1"/>
    <w:next w:val="73"/>
    <w:qFormat/>
    <w:uiPriority w:val="0"/>
    <w:pPr>
      <w:adjustRightInd w:val="0"/>
      <w:snapToGrid w:val="0"/>
      <w:spacing w:line="400" w:lineRule="exact"/>
      <w:ind w:firstLine="200" w:firstLineChars="200"/>
    </w:pPr>
    <w:rPr>
      <w:rFonts w:ascii="Calibri" w:hAnsi="Calibri"/>
      <w:kern w:val="0"/>
      <w:szCs w:val="21"/>
    </w:rPr>
  </w:style>
  <w:style w:type="paragraph" w:customStyle="1" w:styleId="195">
    <w:name w:val="标准文件_版本"/>
    <w:basedOn w:val="194"/>
    <w:qFormat/>
    <w:uiPriority w:val="0"/>
    <w:pPr>
      <w:adjustRightInd/>
      <w:snapToGrid/>
      <w:ind w:firstLine="0" w:firstLineChars="0"/>
    </w:pPr>
    <w:rPr>
      <w:rFonts w:ascii="宋体" w:hAnsi="宋体"/>
      <w:kern w:val="2"/>
    </w:rPr>
  </w:style>
  <w:style w:type="paragraph" w:customStyle="1" w:styleId="196">
    <w:name w:val="标准文件_标准部门"/>
    <w:basedOn w:val="1"/>
    <w:qFormat/>
    <w:uiPriority w:val="0"/>
    <w:pPr>
      <w:adjustRightInd w:val="0"/>
      <w:spacing w:line="400" w:lineRule="exact"/>
      <w:jc w:val="center"/>
    </w:pPr>
    <w:rPr>
      <w:rFonts w:ascii="黑体" w:hAnsi="Calibri" w:eastAsia="黑体"/>
      <w:kern w:val="0"/>
      <w:sz w:val="44"/>
      <w:szCs w:val="21"/>
    </w:rPr>
  </w:style>
  <w:style w:type="paragraph" w:customStyle="1" w:styleId="197">
    <w:name w:val="标准文件_标准代替"/>
    <w:basedOn w:val="1"/>
    <w:next w:val="1"/>
    <w:qFormat/>
    <w:uiPriority w:val="0"/>
    <w:pPr>
      <w:adjustRightInd w:val="0"/>
      <w:spacing w:line="310" w:lineRule="exact"/>
      <w:jc w:val="right"/>
    </w:pPr>
    <w:rPr>
      <w:rFonts w:ascii="宋体" w:hAnsi="宋体"/>
      <w:kern w:val="0"/>
      <w:szCs w:val="21"/>
    </w:rPr>
  </w:style>
  <w:style w:type="paragraph" w:customStyle="1" w:styleId="198">
    <w:name w:val="标准文件_标准名称标题"/>
    <w:basedOn w:val="1"/>
    <w:next w:val="1"/>
    <w:qFormat/>
    <w:uiPriority w:val="0"/>
    <w:pPr>
      <w:widowControl/>
      <w:shd w:val="clear" w:color="FFFFFF" w:fill="FFFFFF"/>
      <w:spacing w:before="640" w:after="100" w:line="400" w:lineRule="exact"/>
      <w:jc w:val="center"/>
    </w:pPr>
    <w:rPr>
      <w:rFonts w:ascii="黑体" w:hAnsi="Calibri" w:eastAsia="黑体"/>
      <w:kern w:val="0"/>
      <w:sz w:val="32"/>
      <w:szCs w:val="21"/>
    </w:rPr>
  </w:style>
  <w:style w:type="paragraph" w:customStyle="1" w:styleId="19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200">
    <w:name w:val="标准文件_页眉偶数页"/>
    <w:basedOn w:val="199"/>
    <w:next w:val="1"/>
    <w:qFormat/>
    <w:uiPriority w:val="0"/>
    <w:pPr>
      <w:jc w:val="left"/>
    </w:pPr>
  </w:style>
  <w:style w:type="paragraph" w:customStyle="1" w:styleId="201">
    <w:name w:val="标准文件_参考文献标题"/>
    <w:basedOn w:val="1"/>
    <w:next w:val="1"/>
    <w:qFormat/>
    <w:uiPriority w:val="0"/>
    <w:pPr>
      <w:widowControl/>
      <w:shd w:val="clear" w:color="FFFFFF" w:fill="FFFFFF"/>
      <w:spacing w:beforeLines="40" w:afterLines="50"/>
      <w:jc w:val="center"/>
      <w:outlineLvl w:val="0"/>
    </w:pPr>
    <w:rPr>
      <w:rFonts w:ascii="黑体" w:hAnsi="Calibri" w:eastAsia="黑体"/>
      <w:kern w:val="0"/>
      <w:szCs w:val="21"/>
    </w:rPr>
  </w:style>
  <w:style w:type="paragraph" w:customStyle="1" w:styleId="202">
    <w:name w:val="标准文件_参考文献条目"/>
    <w:qFormat/>
    <w:uiPriority w:val="0"/>
    <w:pPr>
      <w:tabs>
        <w:tab w:val="left" w:pos="1646"/>
      </w:tabs>
      <w:ind w:left="1646" w:hanging="648"/>
    </w:pPr>
    <w:rPr>
      <w:rFonts w:ascii="宋体" w:hAnsi="Times New Roman" w:eastAsia="宋体" w:cs="Times New Roman"/>
      <w:lang w:val="en-US" w:eastAsia="zh-CN" w:bidi="ar-SA"/>
    </w:rPr>
  </w:style>
  <w:style w:type="character" w:customStyle="1" w:styleId="203">
    <w:name w:val="标准文件_发布"/>
    <w:qFormat/>
    <w:uiPriority w:val="0"/>
    <w:rPr>
      <w:rFonts w:ascii="黑体" w:eastAsia="黑体"/>
      <w:spacing w:val="0"/>
      <w:w w:val="100"/>
      <w:position w:val="3"/>
      <w:sz w:val="28"/>
    </w:rPr>
  </w:style>
  <w:style w:type="paragraph" w:customStyle="1" w:styleId="204">
    <w:name w:val="标准文件_方框数字列项"/>
    <w:basedOn w:val="73"/>
    <w:qFormat/>
    <w:uiPriority w:val="0"/>
    <w:pPr>
      <w:ind w:left="823" w:firstLine="0" w:firstLineChars="0"/>
    </w:pPr>
  </w:style>
  <w:style w:type="paragraph" w:customStyle="1" w:styleId="205">
    <w:name w:val="标准文件_封面标准编号"/>
    <w:basedOn w:val="1"/>
    <w:next w:val="197"/>
    <w:qFormat/>
    <w:uiPriority w:val="0"/>
    <w:pPr>
      <w:adjustRightInd w:val="0"/>
      <w:spacing w:line="310" w:lineRule="exact"/>
      <w:jc w:val="right"/>
    </w:pPr>
    <w:rPr>
      <w:rFonts w:ascii="黑体" w:hAnsi="Calibri" w:eastAsia="黑体"/>
      <w:kern w:val="0"/>
      <w:sz w:val="28"/>
      <w:szCs w:val="21"/>
    </w:rPr>
  </w:style>
  <w:style w:type="paragraph" w:customStyle="1" w:styleId="206">
    <w:name w:val="标准文件_封面标准分类号"/>
    <w:basedOn w:val="1"/>
    <w:qFormat/>
    <w:uiPriority w:val="0"/>
    <w:pPr>
      <w:adjustRightInd w:val="0"/>
      <w:spacing w:line="400" w:lineRule="exact"/>
    </w:pPr>
    <w:rPr>
      <w:rFonts w:ascii="黑体" w:hAnsi="Calibri" w:eastAsia="黑体"/>
      <w:b/>
      <w:kern w:val="0"/>
      <w:sz w:val="28"/>
      <w:szCs w:val="21"/>
    </w:rPr>
  </w:style>
  <w:style w:type="paragraph" w:customStyle="1" w:styleId="207">
    <w:name w:val="标准文件_封面标准名称"/>
    <w:basedOn w:val="1"/>
    <w:qFormat/>
    <w:uiPriority w:val="0"/>
    <w:pPr>
      <w:adjustRightInd w:val="0"/>
      <w:jc w:val="center"/>
    </w:pPr>
    <w:rPr>
      <w:rFonts w:ascii="黑体" w:hAnsi="Calibri" w:eastAsia="黑体"/>
      <w:kern w:val="0"/>
      <w:sz w:val="52"/>
      <w:szCs w:val="21"/>
    </w:rPr>
  </w:style>
  <w:style w:type="paragraph" w:customStyle="1" w:styleId="208">
    <w:name w:val="标准文件_封面标准英文名称"/>
    <w:basedOn w:val="1"/>
    <w:qFormat/>
    <w:uiPriority w:val="0"/>
    <w:pPr>
      <w:adjustRightInd w:val="0"/>
      <w:jc w:val="center"/>
    </w:pPr>
    <w:rPr>
      <w:rFonts w:ascii="黑体" w:hAnsi="Calibri" w:eastAsia="黑体"/>
      <w:b/>
      <w:sz w:val="28"/>
      <w:szCs w:val="21"/>
    </w:rPr>
  </w:style>
  <w:style w:type="paragraph" w:customStyle="1" w:styleId="209">
    <w:name w:val="标准文件_封面发布日期"/>
    <w:basedOn w:val="1"/>
    <w:qFormat/>
    <w:uiPriority w:val="0"/>
    <w:pPr>
      <w:adjustRightInd w:val="0"/>
      <w:spacing w:line="310" w:lineRule="exact"/>
    </w:pPr>
    <w:rPr>
      <w:rFonts w:ascii="黑体" w:hAnsi="Calibri" w:eastAsia="黑体"/>
      <w:kern w:val="0"/>
      <w:sz w:val="28"/>
      <w:szCs w:val="21"/>
    </w:rPr>
  </w:style>
  <w:style w:type="paragraph" w:customStyle="1" w:styleId="210">
    <w:name w:val="标准文件_封面密级"/>
    <w:basedOn w:val="1"/>
    <w:qFormat/>
    <w:uiPriority w:val="0"/>
    <w:pPr>
      <w:adjustRightInd w:val="0"/>
      <w:spacing w:line="400" w:lineRule="exact"/>
    </w:pPr>
    <w:rPr>
      <w:rFonts w:ascii="Calibri" w:hAnsi="Calibri" w:eastAsia="黑体"/>
      <w:sz w:val="32"/>
      <w:szCs w:val="21"/>
    </w:rPr>
  </w:style>
  <w:style w:type="paragraph" w:customStyle="1" w:styleId="211">
    <w:name w:val="标准文件_封面实施日期"/>
    <w:basedOn w:val="1"/>
    <w:qFormat/>
    <w:uiPriority w:val="0"/>
    <w:pPr>
      <w:adjustRightInd w:val="0"/>
      <w:spacing w:line="310" w:lineRule="exact"/>
      <w:jc w:val="right"/>
    </w:pPr>
    <w:rPr>
      <w:rFonts w:ascii="黑体" w:hAnsi="Calibri" w:eastAsia="黑体"/>
      <w:sz w:val="28"/>
      <w:szCs w:val="21"/>
    </w:rPr>
  </w:style>
  <w:style w:type="paragraph" w:customStyle="1" w:styleId="212">
    <w:name w:val="标准文件_封面抬头"/>
    <w:basedOn w:val="73"/>
    <w:qFormat/>
    <w:uiPriority w:val="0"/>
    <w:pPr>
      <w:adjustRightInd w:val="0"/>
      <w:spacing w:line="800" w:lineRule="exact"/>
      <w:ind w:firstLine="0" w:firstLineChars="0"/>
      <w:jc w:val="distribute"/>
    </w:pPr>
    <w:rPr>
      <w:rFonts w:ascii="黑体" w:eastAsia="黑体"/>
      <w:b/>
      <w:sz w:val="64"/>
    </w:rPr>
  </w:style>
  <w:style w:type="paragraph" w:customStyle="1" w:styleId="213">
    <w:name w:val="标准文件_附录表标题"/>
    <w:next w:val="73"/>
    <w:qFormat/>
    <w:uiPriority w:val="0"/>
    <w:pPr>
      <w:adjustRightInd w:val="0"/>
      <w:snapToGrid w:val="0"/>
      <w:spacing w:beforeLines="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214">
    <w:name w:val="标准文件_附录公式"/>
    <w:basedOn w:val="194"/>
    <w:next w:val="194"/>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215">
    <w:name w:val="标准文件_附录图标题"/>
    <w:next w:val="73"/>
    <w:qFormat/>
    <w:uiPriority w:val="0"/>
    <w:pPr>
      <w:adjustRightInd w:val="0"/>
      <w:snapToGrid w:val="0"/>
      <w:spacing w:beforeLines="50" w:afterLines="50"/>
      <w:ind w:firstLine="420"/>
      <w:jc w:val="center"/>
    </w:pPr>
    <w:rPr>
      <w:rFonts w:ascii="黑体" w:hAnsi="Times New Roman" w:eastAsia="黑体" w:cs="Times New Roman"/>
      <w:sz w:val="21"/>
      <w:lang w:val="en-US" w:eastAsia="zh-CN" w:bidi="ar-SA"/>
    </w:rPr>
  </w:style>
  <w:style w:type="paragraph" w:customStyle="1" w:styleId="216">
    <w:name w:val="标准文件_附录英文标识"/>
    <w:next w:val="18"/>
    <w:qFormat/>
    <w:uiPriority w:val="0"/>
    <w:pPr>
      <w:tabs>
        <w:tab w:val="left" w:pos="6406"/>
      </w:tabs>
      <w:spacing w:before="220" w:after="320"/>
      <w:jc w:val="center"/>
      <w:outlineLvl w:val="0"/>
    </w:pPr>
    <w:rPr>
      <w:rFonts w:ascii="黑体" w:hAnsi="Times New Roman" w:eastAsia="黑体" w:cs="Times New Roman"/>
      <w:sz w:val="21"/>
      <w:lang w:val="en-US" w:eastAsia="zh-CN" w:bidi="ar-SA"/>
    </w:rPr>
  </w:style>
  <w:style w:type="paragraph" w:customStyle="1" w:styleId="217">
    <w:name w:val="标准文件_附录章标题"/>
    <w:next w:val="73"/>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18">
    <w:name w:val="标准文件_公式后的破折号"/>
    <w:basedOn w:val="73"/>
    <w:next w:val="73"/>
    <w:qFormat/>
    <w:uiPriority w:val="0"/>
    <w:pPr>
      <w:ind w:left="488" w:leftChars="200" w:hanging="289" w:hangingChars="290"/>
    </w:pPr>
  </w:style>
  <w:style w:type="paragraph" w:customStyle="1" w:styleId="219">
    <w:name w:val="标准文件_前言、引言标题"/>
    <w:next w:val="1"/>
    <w:qFormat/>
    <w:uiPriority w:val="0"/>
    <w:pPr>
      <w:shd w:val="clear" w:color="FFFFFF" w:fill="FFFFFF"/>
      <w:spacing w:afterLines="150"/>
      <w:jc w:val="center"/>
      <w:outlineLvl w:val="0"/>
    </w:pPr>
    <w:rPr>
      <w:rFonts w:ascii="黑体" w:hAnsi="Times New Roman" w:eastAsia="黑体" w:cs="Times New Roman"/>
      <w:sz w:val="32"/>
      <w:lang w:val="en-US" w:eastAsia="zh-CN" w:bidi="ar-SA"/>
    </w:rPr>
  </w:style>
  <w:style w:type="paragraph" w:customStyle="1" w:styleId="220">
    <w:name w:val="标准文件_目次、标准名称标题"/>
    <w:basedOn w:val="219"/>
    <w:next w:val="73"/>
    <w:qFormat/>
    <w:uiPriority w:val="0"/>
    <w:pPr>
      <w:spacing w:line="460" w:lineRule="exact"/>
    </w:pPr>
  </w:style>
  <w:style w:type="paragraph" w:customStyle="1" w:styleId="221">
    <w:name w:val="标准文件_目录标题"/>
    <w:basedOn w:val="1"/>
    <w:qFormat/>
    <w:uiPriority w:val="0"/>
    <w:pPr>
      <w:adjustRightInd w:val="0"/>
      <w:spacing w:afterLines="150"/>
      <w:jc w:val="center"/>
    </w:pPr>
    <w:rPr>
      <w:rFonts w:ascii="黑体" w:hAnsi="Calibri" w:eastAsia="黑体"/>
      <w:sz w:val="32"/>
      <w:szCs w:val="21"/>
    </w:rPr>
  </w:style>
  <w:style w:type="paragraph" w:customStyle="1" w:styleId="222">
    <w:name w:val="标准文件_破折号列项"/>
    <w:qFormat/>
    <w:uiPriority w:val="0"/>
    <w:p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223">
    <w:name w:val="标准文件_破折号列项（二级）"/>
    <w:basedOn w:val="222"/>
    <w:qFormat/>
    <w:uiPriority w:val="0"/>
  </w:style>
  <w:style w:type="character" w:customStyle="1" w:styleId="224">
    <w:name w:val="不明显参考1"/>
    <w:qFormat/>
    <w:uiPriority w:val="31"/>
    <w:rPr>
      <w:smallCaps/>
      <w:color w:val="C0504D"/>
      <w:u w:val="single"/>
    </w:rPr>
  </w:style>
  <w:style w:type="paragraph" w:customStyle="1" w:styleId="225">
    <w:name w:val="标准文件_示例后续"/>
    <w:basedOn w:val="1"/>
    <w:qFormat/>
    <w:uiPriority w:val="0"/>
    <w:pPr>
      <w:ind w:firstLine="200" w:firstLineChars="200"/>
    </w:pPr>
    <w:rPr>
      <w:rFonts w:ascii="Calibri" w:hAnsi="Calibri"/>
      <w:sz w:val="18"/>
    </w:rPr>
  </w:style>
  <w:style w:type="paragraph" w:customStyle="1" w:styleId="226">
    <w:name w:val="标准文件_数字编号列项"/>
    <w:qFormat/>
    <w:uiPriority w:val="0"/>
    <w:pPr>
      <w:tabs>
        <w:tab w:val="left" w:pos="823"/>
      </w:tabs>
      <w:ind w:left="823" w:hanging="420"/>
      <w:jc w:val="both"/>
    </w:pPr>
    <w:rPr>
      <w:rFonts w:ascii="宋体" w:hAnsi="宋体" w:eastAsia="宋体" w:cs="Times New Roman"/>
      <w:sz w:val="21"/>
      <w:lang w:val="en-US" w:eastAsia="zh-CN" w:bidi="ar-SA"/>
    </w:rPr>
  </w:style>
  <w:style w:type="paragraph" w:customStyle="1" w:styleId="227">
    <w:name w:val="标准文件_条文脚注"/>
    <w:basedOn w:val="34"/>
    <w:qFormat/>
    <w:uiPriority w:val="0"/>
    <w:pPr>
      <w:adjustRightInd w:val="0"/>
      <w:ind w:left="0" w:firstLine="200" w:firstLineChars="200"/>
      <w:jc w:val="both"/>
    </w:pPr>
    <w:rPr>
      <w:rFonts w:hAnsi="宋体"/>
    </w:rPr>
  </w:style>
  <w:style w:type="paragraph" w:customStyle="1" w:styleId="228">
    <w:name w:val="标准文件_图表脚注"/>
    <w:basedOn w:val="1"/>
    <w:next w:val="73"/>
    <w:qFormat/>
    <w:uiPriority w:val="0"/>
    <w:pPr>
      <w:tabs>
        <w:tab w:val="left" w:pos="539"/>
      </w:tabs>
      <w:adjustRightInd w:val="0"/>
      <w:ind w:left="539" w:hanging="119"/>
      <w:jc w:val="left"/>
    </w:pPr>
    <w:rPr>
      <w:rFonts w:ascii="宋体" w:hAnsi="宋体"/>
      <w:sz w:val="18"/>
      <w:szCs w:val="21"/>
    </w:rPr>
  </w:style>
  <w:style w:type="character" w:customStyle="1" w:styleId="229">
    <w:name w:val="标准文件_图表脚注内容"/>
    <w:qFormat/>
    <w:uiPriority w:val="0"/>
    <w:rPr>
      <w:rFonts w:ascii="宋体" w:hAnsi="宋体" w:eastAsia="宋体" w:cs="Times New Roman"/>
      <w:spacing w:val="0"/>
      <w:sz w:val="18"/>
      <w:vertAlign w:val="superscript"/>
    </w:rPr>
  </w:style>
  <w:style w:type="paragraph" w:customStyle="1" w:styleId="230">
    <w:name w:val="标准文件_一致程度"/>
    <w:basedOn w:val="1"/>
    <w:qFormat/>
    <w:uiPriority w:val="0"/>
    <w:pPr>
      <w:adjustRightInd w:val="0"/>
      <w:spacing w:line="440" w:lineRule="exact"/>
      <w:jc w:val="center"/>
    </w:pPr>
    <w:rPr>
      <w:rFonts w:ascii="Calibri" w:hAnsi="Calibri"/>
      <w:sz w:val="28"/>
      <w:szCs w:val="21"/>
    </w:rPr>
  </w:style>
  <w:style w:type="paragraph" w:customStyle="1" w:styleId="23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32">
    <w:name w:val="标准文件_英文图表脚注"/>
    <w:basedOn w:val="194"/>
    <w:qFormat/>
    <w:uiPriority w:val="0"/>
    <w:pPr>
      <w:widowControl/>
      <w:adjustRightInd/>
      <w:snapToGrid/>
      <w:spacing w:line="240" w:lineRule="auto"/>
      <w:ind w:left="79" w:hanging="79" w:hangingChars="80"/>
    </w:pPr>
    <w:rPr>
      <w:rFonts w:ascii="宋体" w:hAnsi="宋体"/>
    </w:rPr>
  </w:style>
  <w:style w:type="paragraph" w:customStyle="1" w:styleId="233">
    <w:name w:val="标准文件_数字编号列项（二级）"/>
    <w:qFormat/>
    <w:uiPriority w:val="0"/>
    <w:pPr>
      <w:tabs>
        <w:tab w:val="left" w:pos="1276"/>
      </w:tabs>
      <w:ind w:left="1276" w:hanging="425"/>
      <w:jc w:val="both"/>
    </w:pPr>
    <w:rPr>
      <w:rFonts w:ascii="宋体" w:hAnsi="Times New Roman" w:eastAsia="宋体" w:cs="Times New Roman"/>
      <w:sz w:val="21"/>
      <w:lang w:val="en-US" w:eastAsia="zh-CN" w:bidi="ar-SA"/>
    </w:rPr>
  </w:style>
  <w:style w:type="paragraph" w:customStyle="1" w:styleId="234">
    <w:name w:val="标准文件_英文注："/>
    <w:basedOn w:val="1"/>
    <w:next w:val="73"/>
    <w:qFormat/>
    <w:uiPriority w:val="0"/>
    <w:pPr>
      <w:tabs>
        <w:tab w:val="left" w:pos="420"/>
        <w:tab w:val="left" w:pos="845"/>
      </w:tabs>
      <w:autoSpaceDE w:val="0"/>
      <w:autoSpaceDN w:val="0"/>
      <w:adjustRightInd w:val="0"/>
      <w:ind w:left="-102" w:firstLine="419"/>
    </w:pPr>
    <w:rPr>
      <w:rFonts w:ascii="宋体" w:hAnsi="宋体"/>
      <w:kern w:val="0"/>
      <w:sz w:val="18"/>
      <w:szCs w:val="20"/>
    </w:rPr>
  </w:style>
  <w:style w:type="paragraph" w:customStyle="1" w:styleId="235">
    <w:name w:val="标准文件_英文注×："/>
    <w:basedOn w:val="1"/>
    <w:qFormat/>
    <w:uiPriority w:val="0"/>
    <w:pPr>
      <w:tabs>
        <w:tab w:val="left" w:pos="210"/>
        <w:tab w:val="left" w:pos="760"/>
      </w:tabs>
      <w:autoSpaceDE w:val="0"/>
      <w:autoSpaceDN w:val="0"/>
      <w:adjustRightInd w:val="0"/>
      <w:ind w:left="760" w:hanging="284"/>
    </w:pPr>
    <w:rPr>
      <w:rFonts w:ascii="宋体" w:hAnsi="宋体"/>
      <w:kern w:val="0"/>
      <w:szCs w:val="20"/>
    </w:rPr>
  </w:style>
  <w:style w:type="paragraph" w:customStyle="1" w:styleId="236">
    <w:name w:val="标准文件_正文表标题"/>
    <w:next w:val="73"/>
    <w:qFormat/>
    <w:uiPriority w:val="0"/>
    <w:p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237">
    <w:name w:val="标准文件_正文公式"/>
    <w:basedOn w:val="1"/>
    <w:next w:val="194"/>
    <w:qFormat/>
    <w:uiPriority w:val="0"/>
    <w:pPr>
      <w:tabs>
        <w:tab w:val="center" w:pos="4678"/>
        <w:tab w:val="right" w:leader="middleDot" w:pos="9356"/>
      </w:tabs>
      <w:adjustRightInd w:val="0"/>
    </w:pPr>
    <w:rPr>
      <w:rFonts w:ascii="宋体" w:hAnsi="宋体"/>
      <w:szCs w:val="21"/>
    </w:rPr>
  </w:style>
  <w:style w:type="paragraph" w:customStyle="1" w:styleId="238">
    <w:name w:val="标准文件_正文图标题"/>
    <w:next w:val="73"/>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239">
    <w:name w:val="标准文件_正文英文表标题"/>
    <w:next w:val="73"/>
    <w:qFormat/>
    <w:uiPriority w:val="0"/>
    <w:pPr>
      <w:jc w:val="center"/>
    </w:pPr>
    <w:rPr>
      <w:rFonts w:ascii="黑体" w:hAnsi="Times New Roman" w:eastAsia="黑体" w:cs="Times New Roman"/>
      <w:sz w:val="21"/>
      <w:lang w:val="en-US" w:eastAsia="zh-CN" w:bidi="ar-SA"/>
    </w:rPr>
  </w:style>
  <w:style w:type="paragraph" w:customStyle="1" w:styleId="240">
    <w:name w:val="标准文件_正文英文图标题"/>
    <w:next w:val="73"/>
    <w:qFormat/>
    <w:uiPriority w:val="0"/>
    <w:pPr>
      <w:jc w:val="center"/>
    </w:pPr>
    <w:rPr>
      <w:rFonts w:ascii="黑体" w:hAnsi="Times New Roman" w:eastAsia="黑体" w:cs="Times New Roman"/>
      <w:sz w:val="21"/>
      <w:lang w:val="en-US" w:eastAsia="zh-CN" w:bidi="ar-SA"/>
    </w:rPr>
  </w:style>
  <w:style w:type="paragraph" w:customStyle="1" w:styleId="241">
    <w:name w:val="标准文件_编号列项（三级）"/>
    <w:qFormat/>
    <w:uiPriority w:val="0"/>
    <w:pPr>
      <w:ind w:left="1701" w:hanging="425"/>
    </w:pPr>
    <w:rPr>
      <w:rFonts w:ascii="宋体" w:hAnsi="Times New Roman" w:eastAsia="宋体" w:cs="Times New Roman"/>
      <w:sz w:val="21"/>
      <w:lang w:val="en-US" w:eastAsia="zh-CN" w:bidi="ar-SA"/>
    </w:rPr>
  </w:style>
  <w:style w:type="paragraph" w:customStyle="1" w:styleId="242">
    <w:name w:val="二级无标题条"/>
    <w:basedOn w:val="1"/>
    <w:qFormat/>
    <w:uiPriority w:val="0"/>
    <w:rPr>
      <w:rFonts w:ascii="宋体" w:hAnsi="宋体"/>
    </w:rPr>
  </w:style>
  <w:style w:type="paragraph" w:customStyle="1" w:styleId="243">
    <w:name w:val="附录二级无标题条"/>
    <w:basedOn w:val="1"/>
    <w:next w:val="73"/>
    <w:qFormat/>
    <w:uiPriority w:val="0"/>
    <w:pPr>
      <w:widowControl/>
      <w:wordWrap w:val="0"/>
      <w:overflowPunct w:val="0"/>
      <w:autoSpaceDE w:val="0"/>
      <w:autoSpaceDN w:val="0"/>
      <w:textAlignment w:val="baseline"/>
      <w:outlineLvl w:val="3"/>
    </w:pPr>
    <w:rPr>
      <w:rFonts w:ascii="宋体" w:hAnsi="宋体"/>
      <w:kern w:val="21"/>
      <w:szCs w:val="21"/>
    </w:rPr>
  </w:style>
  <w:style w:type="paragraph" w:customStyle="1" w:styleId="244">
    <w:name w:val="附录三级无标题条"/>
    <w:basedOn w:val="243"/>
    <w:next w:val="73"/>
    <w:qFormat/>
    <w:uiPriority w:val="0"/>
    <w:pPr>
      <w:outlineLvl w:val="4"/>
    </w:pPr>
  </w:style>
  <w:style w:type="paragraph" w:customStyle="1" w:styleId="245">
    <w:name w:val="附录四级无标题条"/>
    <w:basedOn w:val="244"/>
    <w:next w:val="73"/>
    <w:qFormat/>
    <w:uiPriority w:val="0"/>
    <w:pPr>
      <w:outlineLvl w:val="5"/>
    </w:pPr>
  </w:style>
  <w:style w:type="paragraph" w:customStyle="1" w:styleId="246">
    <w:name w:val="附录图"/>
    <w:next w:val="73"/>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247">
    <w:name w:val="附录五级无标题条"/>
    <w:basedOn w:val="245"/>
    <w:next w:val="73"/>
    <w:qFormat/>
    <w:uiPriority w:val="0"/>
    <w:pPr>
      <w:outlineLvl w:val="6"/>
    </w:pPr>
  </w:style>
  <w:style w:type="paragraph" w:customStyle="1" w:styleId="248">
    <w:name w:val="附录性质"/>
    <w:basedOn w:val="1"/>
    <w:qFormat/>
    <w:uiPriority w:val="0"/>
    <w:pPr>
      <w:widowControl/>
      <w:spacing w:line="400" w:lineRule="exact"/>
      <w:jc w:val="center"/>
    </w:pPr>
    <w:rPr>
      <w:rFonts w:ascii="黑体" w:hAnsi="Calibri" w:eastAsia="黑体"/>
      <w:szCs w:val="21"/>
    </w:rPr>
  </w:style>
  <w:style w:type="paragraph" w:customStyle="1" w:styleId="249">
    <w:name w:val="附录一级无标题条"/>
    <w:basedOn w:val="217"/>
    <w:next w:val="73"/>
    <w:qFormat/>
    <w:uiPriority w:val="0"/>
    <w:pPr>
      <w:autoSpaceDN w:val="0"/>
      <w:outlineLvl w:val="2"/>
    </w:pPr>
    <w:rPr>
      <w:rFonts w:ascii="宋体" w:hAnsi="宋体" w:eastAsia="宋体"/>
    </w:rPr>
  </w:style>
  <w:style w:type="character" w:customStyle="1" w:styleId="250">
    <w:name w:val="个人答复风格"/>
    <w:qFormat/>
    <w:uiPriority w:val="0"/>
    <w:rPr>
      <w:rFonts w:ascii="Arial" w:hAnsi="Arial" w:eastAsia="宋体" w:cs="Arial"/>
      <w:color w:val="auto"/>
      <w:spacing w:val="0"/>
      <w:sz w:val="20"/>
    </w:rPr>
  </w:style>
  <w:style w:type="character" w:customStyle="1" w:styleId="251">
    <w:name w:val="个人撰写风格"/>
    <w:qFormat/>
    <w:uiPriority w:val="0"/>
    <w:rPr>
      <w:rFonts w:ascii="Arial" w:hAnsi="Arial" w:eastAsia="宋体" w:cs="Arial"/>
      <w:color w:val="auto"/>
      <w:spacing w:val="0"/>
      <w:sz w:val="20"/>
    </w:rPr>
  </w:style>
  <w:style w:type="paragraph" w:customStyle="1" w:styleId="25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253">
    <w:name w:val="列项——"/>
    <w:qFormat/>
    <w:uiPriority w:val="0"/>
    <w:pPr>
      <w:widowControl w:val="0"/>
      <w:tabs>
        <w:tab w:val="left" w:pos="330"/>
      </w:tabs>
      <w:ind w:left="948" w:hanging="420"/>
      <w:jc w:val="both"/>
    </w:pPr>
    <w:rPr>
      <w:rFonts w:ascii="宋体" w:hAnsi="宋体" w:eastAsia="宋体" w:cs="Times New Roman"/>
      <w:sz w:val="21"/>
      <w:lang w:val="en-US" w:eastAsia="zh-CN" w:bidi="ar-SA"/>
    </w:rPr>
  </w:style>
  <w:style w:type="paragraph" w:customStyle="1" w:styleId="254">
    <w:name w:val="列项·"/>
    <w:basedOn w:val="73"/>
    <w:qFormat/>
    <w:uiPriority w:val="0"/>
    <w:pPr>
      <w:tabs>
        <w:tab w:val="left" w:pos="840"/>
      </w:tabs>
    </w:pPr>
  </w:style>
  <w:style w:type="paragraph" w:customStyle="1" w:styleId="255">
    <w:name w:val="目录 21"/>
    <w:basedOn w:val="1"/>
    <w:next w:val="1"/>
    <w:semiHidden/>
    <w:qFormat/>
    <w:uiPriority w:val="0"/>
    <w:pPr>
      <w:jc w:val="left"/>
    </w:pPr>
    <w:rPr>
      <w:rFonts w:ascii="Calibri" w:hAnsi="Calibri"/>
      <w:bCs/>
      <w:iCs/>
      <w:szCs w:val="21"/>
    </w:rPr>
  </w:style>
  <w:style w:type="paragraph" w:customStyle="1" w:styleId="256">
    <w:name w:val="目录 31"/>
    <w:basedOn w:val="1"/>
    <w:next w:val="1"/>
    <w:semiHidden/>
    <w:qFormat/>
    <w:uiPriority w:val="0"/>
    <w:pPr>
      <w:adjustRightInd w:val="0"/>
    </w:pPr>
    <w:rPr>
      <w:rFonts w:ascii="宋体" w:hAnsi="宋体"/>
      <w:iCs/>
      <w:szCs w:val="21"/>
    </w:rPr>
  </w:style>
  <w:style w:type="paragraph" w:customStyle="1" w:styleId="257">
    <w:name w:val="目录 41"/>
    <w:basedOn w:val="1"/>
    <w:next w:val="1"/>
    <w:semiHidden/>
    <w:qFormat/>
    <w:uiPriority w:val="0"/>
    <w:pPr>
      <w:jc w:val="left"/>
    </w:pPr>
    <w:rPr>
      <w:rFonts w:ascii="Calibri" w:hAnsi="Calibri"/>
      <w:szCs w:val="21"/>
    </w:rPr>
  </w:style>
  <w:style w:type="paragraph" w:customStyle="1" w:styleId="258">
    <w:name w:val="目录 51"/>
    <w:basedOn w:val="1"/>
    <w:next w:val="1"/>
    <w:semiHidden/>
    <w:qFormat/>
    <w:uiPriority w:val="0"/>
    <w:pPr>
      <w:adjustRightInd w:val="0"/>
    </w:pPr>
    <w:rPr>
      <w:rFonts w:ascii="宋体" w:hAnsi="宋体"/>
      <w:szCs w:val="21"/>
    </w:rPr>
  </w:style>
  <w:style w:type="paragraph" w:customStyle="1" w:styleId="259">
    <w:name w:val="目录 61"/>
    <w:basedOn w:val="1"/>
    <w:next w:val="1"/>
    <w:semiHidden/>
    <w:qFormat/>
    <w:uiPriority w:val="0"/>
    <w:pPr>
      <w:jc w:val="left"/>
    </w:pPr>
    <w:rPr>
      <w:rFonts w:ascii="Calibri" w:hAnsi="Calibri"/>
      <w:szCs w:val="21"/>
    </w:rPr>
  </w:style>
  <w:style w:type="paragraph" w:customStyle="1" w:styleId="260">
    <w:name w:val="目录 71"/>
    <w:basedOn w:val="259"/>
    <w:semiHidden/>
    <w:qFormat/>
    <w:uiPriority w:val="0"/>
    <w:pPr>
      <w:ind w:left="1260"/>
    </w:pPr>
  </w:style>
  <w:style w:type="paragraph" w:customStyle="1" w:styleId="261">
    <w:name w:val="目录 81"/>
    <w:basedOn w:val="260"/>
    <w:semiHidden/>
    <w:qFormat/>
    <w:uiPriority w:val="0"/>
    <w:pPr>
      <w:ind w:left="1470"/>
    </w:pPr>
  </w:style>
  <w:style w:type="paragraph" w:customStyle="1" w:styleId="262">
    <w:name w:val="目录 91"/>
    <w:basedOn w:val="261"/>
    <w:semiHidden/>
    <w:qFormat/>
    <w:uiPriority w:val="0"/>
    <w:pPr>
      <w:ind w:left="1680"/>
    </w:pPr>
  </w:style>
  <w:style w:type="paragraph" w:customStyle="1" w:styleId="263">
    <w:name w:val="三级无标题条"/>
    <w:basedOn w:val="1"/>
    <w:qFormat/>
    <w:uiPriority w:val="0"/>
    <w:rPr>
      <w:rFonts w:ascii="宋体" w:hAnsi="宋体"/>
    </w:rPr>
  </w:style>
  <w:style w:type="paragraph" w:customStyle="1" w:styleId="264">
    <w:name w:val="四级无标题条"/>
    <w:basedOn w:val="1"/>
    <w:qFormat/>
    <w:uiPriority w:val="0"/>
    <w:rPr>
      <w:rFonts w:ascii="宋体" w:hAnsi="宋体"/>
    </w:rPr>
  </w:style>
  <w:style w:type="paragraph" w:customStyle="1" w:styleId="265">
    <w:name w:val="无标题条"/>
    <w:next w:val="73"/>
    <w:qFormat/>
    <w:uiPriority w:val="0"/>
    <w:pPr>
      <w:jc w:val="both"/>
    </w:pPr>
    <w:rPr>
      <w:rFonts w:ascii="宋体" w:hAnsi="宋体" w:eastAsia="宋体" w:cs="Times New Roman"/>
      <w:sz w:val="21"/>
      <w:lang w:val="en-US" w:eastAsia="zh-CN" w:bidi="ar-SA"/>
    </w:rPr>
  </w:style>
  <w:style w:type="paragraph" w:customStyle="1" w:styleId="266">
    <w:name w:val="五级无标题条"/>
    <w:basedOn w:val="1"/>
    <w:qFormat/>
    <w:uiPriority w:val="0"/>
    <w:pPr>
      <w:spacing w:line="400" w:lineRule="exact"/>
    </w:pPr>
    <w:rPr>
      <w:rFonts w:ascii="Calibri" w:hAnsi="Calibri"/>
    </w:rPr>
  </w:style>
  <w:style w:type="paragraph" w:customStyle="1" w:styleId="267">
    <w:name w:val="一级无标题条"/>
    <w:basedOn w:val="1"/>
    <w:qFormat/>
    <w:uiPriority w:val="0"/>
    <w:pPr>
      <w:spacing w:before="10" w:after="10"/>
    </w:pPr>
    <w:rPr>
      <w:rFonts w:ascii="宋体" w:hAnsi="宋体"/>
    </w:rPr>
  </w:style>
  <w:style w:type="paragraph" w:customStyle="1" w:styleId="268">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269">
    <w:name w:val="注×:后续"/>
    <w:basedOn w:val="268"/>
    <w:qFormat/>
    <w:uiPriority w:val="0"/>
    <w:pPr>
      <w:ind w:left="1406" w:leftChars="0" w:hanging="499" w:firstLineChars="0"/>
    </w:pPr>
  </w:style>
  <w:style w:type="paragraph" w:customStyle="1" w:styleId="270">
    <w:name w:val="标准文件_五级无标题"/>
    <w:basedOn w:val="176"/>
    <w:qFormat/>
    <w:uiPriority w:val="0"/>
    <w:pPr>
      <w:spacing w:beforeLines="0" w:afterLines="0"/>
      <w:outlineLvl w:val="9"/>
    </w:pPr>
    <w:rPr>
      <w:rFonts w:ascii="宋体" w:eastAsia="宋体"/>
    </w:rPr>
  </w:style>
  <w:style w:type="paragraph" w:customStyle="1" w:styleId="271">
    <w:name w:val="标准文件_三级无标题"/>
    <w:basedOn w:val="181"/>
    <w:qFormat/>
    <w:uiPriority w:val="0"/>
    <w:pPr>
      <w:spacing w:beforeLines="0" w:afterLines="0"/>
      <w:outlineLvl w:val="9"/>
    </w:pPr>
    <w:rPr>
      <w:rFonts w:ascii="宋体" w:eastAsia="宋体"/>
    </w:rPr>
  </w:style>
  <w:style w:type="paragraph" w:customStyle="1" w:styleId="272">
    <w:name w:val="标准_四级无标题"/>
    <w:basedOn w:val="162"/>
    <w:next w:val="73"/>
    <w:qFormat/>
    <w:uiPriority w:val="0"/>
    <w:rPr>
      <w:rFonts w:eastAsia="宋体"/>
    </w:rPr>
  </w:style>
  <w:style w:type="paragraph" w:customStyle="1" w:styleId="273">
    <w:name w:val="标准文件_四级无标题"/>
    <w:basedOn w:val="162"/>
    <w:qFormat/>
    <w:uiPriority w:val="0"/>
    <w:pPr>
      <w:spacing w:beforeLines="0" w:afterLines="0"/>
      <w:outlineLvl w:val="9"/>
    </w:pPr>
    <w:rPr>
      <w:rFonts w:ascii="宋体" w:hAnsi="黑体" w:eastAsia="宋体"/>
      <w:szCs w:val="52"/>
    </w:rPr>
  </w:style>
  <w:style w:type="paragraph" w:customStyle="1" w:styleId="274">
    <w:name w:val="标准文件_大写罗马数字编号列项"/>
    <w:basedOn w:val="73"/>
    <w:qFormat/>
    <w:uiPriority w:val="0"/>
    <w:pPr>
      <w:tabs>
        <w:tab w:val="left" w:pos="851"/>
      </w:tabs>
      <w:ind w:left="851" w:firstLine="0" w:firstLineChars="0"/>
    </w:pPr>
    <w:rPr>
      <w:rFonts w:ascii="Times New Roman" w:cs="Arial"/>
      <w:szCs w:val="28"/>
    </w:rPr>
  </w:style>
  <w:style w:type="paragraph" w:customStyle="1" w:styleId="275">
    <w:name w:val="标准文件_小写罗马数字编号列项"/>
    <w:basedOn w:val="73"/>
    <w:qFormat/>
    <w:uiPriority w:val="0"/>
    <w:pPr>
      <w:tabs>
        <w:tab w:val="left" w:pos="851"/>
      </w:tabs>
      <w:ind w:left="851" w:firstLine="0" w:firstLineChars="0"/>
    </w:pPr>
    <w:rPr>
      <w:rFonts w:cs="Arial"/>
      <w:szCs w:val="28"/>
    </w:rPr>
  </w:style>
  <w:style w:type="paragraph" w:customStyle="1" w:styleId="276">
    <w:name w:val="标准文件_附录标题"/>
    <w:basedOn w:val="183"/>
    <w:qFormat/>
    <w:uiPriority w:val="0"/>
    <w:pPr>
      <w:spacing w:after="280"/>
      <w:outlineLvl w:val="9"/>
    </w:pPr>
  </w:style>
  <w:style w:type="paragraph" w:customStyle="1" w:styleId="277">
    <w:name w:val="标准文件_二级项"/>
    <w:qFormat/>
    <w:uiPriority w:val="0"/>
    <w:rPr>
      <w:rFonts w:ascii="宋体" w:hAnsi="Times New Roman" w:eastAsia="宋体" w:cs="Times New Roman"/>
      <w:sz w:val="21"/>
      <w:lang w:val="en-US" w:eastAsia="zh-CN" w:bidi="ar-SA"/>
    </w:rPr>
  </w:style>
  <w:style w:type="paragraph" w:customStyle="1" w:styleId="278">
    <w:name w:val="标准文件_字母编号列项（一级）"/>
    <w:qFormat/>
    <w:uiPriority w:val="0"/>
    <w:pPr>
      <w:tabs>
        <w:tab w:val="left" w:pos="851"/>
      </w:tabs>
      <w:ind w:left="851" w:hanging="426"/>
      <w:jc w:val="both"/>
    </w:pPr>
    <w:rPr>
      <w:rFonts w:ascii="宋体" w:hAnsi="Times New Roman" w:eastAsia="宋体" w:cs="Times New Roman"/>
      <w:sz w:val="21"/>
      <w:lang w:val="en-US" w:eastAsia="zh-CN" w:bidi="ar-SA"/>
    </w:rPr>
  </w:style>
  <w:style w:type="paragraph" w:customStyle="1" w:styleId="279">
    <w:name w:val="标准文件_索引字母"/>
    <w:next w:val="73"/>
    <w:qFormat/>
    <w:uiPriority w:val="0"/>
    <w:pPr>
      <w:jc w:val="center"/>
    </w:pPr>
    <w:rPr>
      <w:rFonts w:ascii="宋体" w:hAnsi="宋体" w:eastAsia="Times New Roman" w:cs="Times New Roman"/>
      <w:b/>
      <w:kern w:val="2"/>
      <w:sz w:val="21"/>
      <w:lang w:val="en-US" w:eastAsia="zh-CN" w:bidi="ar-SA"/>
    </w:rPr>
  </w:style>
  <w:style w:type="paragraph" w:customStyle="1" w:styleId="280">
    <w:name w:val="标准文件_附录前"/>
    <w:next w:val="73"/>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281">
    <w:name w:val="标准文件_正文标准名称"/>
    <w:qFormat/>
    <w:uiPriority w:val="0"/>
    <w:pPr>
      <w:spacing w:beforeLines="20" w:after="640" w:line="400" w:lineRule="exact"/>
      <w:jc w:val="center"/>
    </w:pPr>
    <w:rPr>
      <w:rFonts w:ascii="黑体" w:hAnsi="黑体" w:eastAsia="黑体" w:cs="Times New Roman"/>
      <w:kern w:val="2"/>
      <w:sz w:val="32"/>
      <w:szCs w:val="32"/>
      <w:lang w:val="en-US" w:eastAsia="zh-CN" w:bidi="ar-SA"/>
    </w:rPr>
  </w:style>
  <w:style w:type="paragraph" w:customStyle="1" w:styleId="282">
    <w:name w:val="标准文件_表格"/>
    <w:basedOn w:val="73"/>
    <w:qFormat/>
    <w:uiPriority w:val="0"/>
    <w:pPr>
      <w:ind w:firstLine="0" w:firstLineChars="0"/>
      <w:jc w:val="center"/>
    </w:pPr>
    <w:rPr>
      <w:sz w:val="18"/>
    </w:rPr>
  </w:style>
  <w:style w:type="paragraph" w:customStyle="1" w:styleId="283">
    <w:name w:val="标准文件_注："/>
    <w:next w:val="73"/>
    <w:qFormat/>
    <w:uiPriority w:val="0"/>
    <w:pPr>
      <w:widowControl w:val="0"/>
      <w:autoSpaceDE w:val="0"/>
      <w:autoSpaceDN w:val="0"/>
      <w:ind w:left="737" w:hanging="374"/>
      <w:jc w:val="both"/>
    </w:pPr>
    <w:rPr>
      <w:rFonts w:ascii="宋体" w:hAnsi="Times New Roman" w:eastAsia="宋体" w:cs="Times New Roman"/>
      <w:sz w:val="18"/>
      <w:szCs w:val="18"/>
      <w:lang w:val="en-US" w:eastAsia="zh-CN" w:bidi="ar-SA"/>
    </w:rPr>
  </w:style>
  <w:style w:type="paragraph" w:customStyle="1" w:styleId="284">
    <w:name w:val="标准文件_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285">
    <w:name w:val="标准文件_示例："/>
    <w:next w:val="286"/>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286">
    <w:name w:val="标准文件_示例内容"/>
    <w:basedOn w:val="73"/>
    <w:qFormat/>
    <w:uiPriority w:val="0"/>
    <w:pPr>
      <w:ind w:firstLine="420"/>
    </w:pPr>
    <w:rPr>
      <w:sz w:val="18"/>
    </w:rPr>
  </w:style>
  <w:style w:type="paragraph" w:customStyle="1" w:styleId="287">
    <w:name w:val="标准文件_示例×："/>
    <w:basedOn w:val="1"/>
    <w:next w:val="286"/>
    <w:qFormat/>
    <w:uiPriority w:val="0"/>
    <w:pPr>
      <w:widowControl/>
      <w:ind w:firstLine="363"/>
    </w:pPr>
    <w:rPr>
      <w:rFonts w:ascii="宋体"/>
      <w:kern w:val="0"/>
      <w:sz w:val="18"/>
      <w:szCs w:val="18"/>
    </w:rPr>
  </w:style>
  <w:style w:type="paragraph" w:customStyle="1" w:styleId="288">
    <w:name w:val="标准文件_表格续"/>
    <w:basedOn w:val="73"/>
    <w:next w:val="73"/>
    <w:qFormat/>
    <w:uiPriority w:val="0"/>
    <w:pPr>
      <w:jc w:val="center"/>
    </w:pPr>
    <w:rPr>
      <w:rFonts w:ascii="黑体" w:hAnsi="黑体" w:eastAsia="黑体"/>
    </w:rPr>
  </w:style>
  <w:style w:type="character" w:styleId="289">
    <w:name w:val="Placeholder Text"/>
    <w:semiHidden/>
    <w:qFormat/>
    <w:uiPriority w:val="99"/>
    <w:rPr>
      <w:color w:val="808080"/>
    </w:rPr>
  </w:style>
  <w:style w:type="paragraph" w:customStyle="1" w:styleId="290">
    <w:name w:val="标准文件_三级项2"/>
    <w:basedOn w:val="73"/>
    <w:qFormat/>
    <w:uiPriority w:val="0"/>
    <w:pPr>
      <w:spacing w:line="300" w:lineRule="exact"/>
      <w:ind w:left="1276" w:hanging="425" w:firstLineChars="0"/>
    </w:pPr>
    <w:rPr>
      <w:rFonts w:ascii="Times New Roman"/>
    </w:rPr>
  </w:style>
  <w:style w:type="paragraph" w:customStyle="1" w:styleId="291">
    <w:name w:val="标准文件_一级项2"/>
    <w:basedOn w:val="73"/>
    <w:qFormat/>
    <w:uiPriority w:val="0"/>
    <w:pPr>
      <w:spacing w:line="300" w:lineRule="exact"/>
      <w:ind w:left="1271" w:hanging="420" w:firstLineChars="0"/>
    </w:pPr>
    <w:rPr>
      <w:rFonts w:ascii="Times New Roman"/>
    </w:rPr>
  </w:style>
  <w:style w:type="paragraph" w:customStyle="1" w:styleId="292">
    <w:name w:val="标准文件_提示"/>
    <w:basedOn w:val="73"/>
    <w:next w:val="73"/>
    <w:qFormat/>
    <w:uiPriority w:val="0"/>
    <w:pPr>
      <w:ind w:firstLine="420"/>
    </w:pPr>
    <w:rPr>
      <w:rFonts w:ascii="黑体" w:eastAsia="黑体"/>
    </w:rPr>
  </w:style>
  <w:style w:type="character" w:customStyle="1" w:styleId="293">
    <w:name w:val="标准文件_来源"/>
    <w:qFormat/>
    <w:uiPriority w:val="1"/>
    <w:rPr>
      <w:rFonts w:eastAsia="宋体"/>
      <w:sz w:val="21"/>
    </w:rPr>
  </w:style>
  <w:style w:type="paragraph" w:customStyle="1" w:styleId="2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95">
    <w:name w:val="标准文件_文件编号"/>
    <w:basedOn w:val="73"/>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96">
    <w:name w:val="标准文件_替换文件编号"/>
    <w:basedOn w:val="295"/>
    <w:qFormat/>
    <w:uiPriority w:val="0"/>
    <w:pPr>
      <w:framePr w:wrap="around"/>
      <w:spacing w:before="57"/>
    </w:pPr>
    <w:rPr>
      <w:sz w:val="21"/>
    </w:rPr>
  </w:style>
  <w:style w:type="paragraph" w:customStyle="1" w:styleId="297">
    <w:name w:val="标准文件_文件名称"/>
    <w:basedOn w:val="73"/>
    <w:next w:val="73"/>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98">
    <w:name w:val="标准文件_附录图标号"/>
    <w:basedOn w:val="73"/>
    <w:next w:val="73"/>
    <w:qFormat/>
    <w:uiPriority w:val="0"/>
    <w:pPr>
      <w:spacing w:line="14" w:lineRule="exact"/>
      <w:ind w:left="420" w:firstLine="0" w:firstLineChars="0"/>
      <w:jc w:val="center"/>
    </w:pPr>
    <w:rPr>
      <w:rFonts w:ascii="黑体" w:hAnsi="黑体" w:eastAsia="黑体"/>
      <w:vanish/>
      <w:sz w:val="2"/>
      <w:szCs w:val="21"/>
    </w:rPr>
  </w:style>
  <w:style w:type="paragraph" w:customStyle="1" w:styleId="299">
    <w:name w:val="标准文件_附录表标号"/>
    <w:basedOn w:val="73"/>
    <w:next w:val="73"/>
    <w:qFormat/>
    <w:uiPriority w:val="0"/>
    <w:pPr>
      <w:spacing w:line="14" w:lineRule="exact"/>
      <w:ind w:left="425" w:firstLine="0" w:firstLineChars="0"/>
      <w:jc w:val="center"/>
    </w:pPr>
    <w:rPr>
      <w:rFonts w:eastAsia="黑体"/>
      <w:vanish/>
      <w:sz w:val="2"/>
    </w:rPr>
  </w:style>
  <w:style w:type="paragraph" w:customStyle="1" w:styleId="300">
    <w:name w:val="标准文件_引言一级条标题"/>
    <w:basedOn w:val="73"/>
    <w:next w:val="73"/>
    <w:qFormat/>
    <w:uiPriority w:val="0"/>
    <w:pPr>
      <w:spacing w:beforeLines="50" w:afterLines="50"/>
      <w:ind w:firstLine="0" w:firstLineChars="0"/>
    </w:pPr>
    <w:rPr>
      <w:rFonts w:ascii="黑体" w:eastAsia="黑体"/>
    </w:rPr>
  </w:style>
  <w:style w:type="paragraph" w:customStyle="1" w:styleId="301">
    <w:name w:val="标准文件_引言二级条标题"/>
    <w:basedOn w:val="73"/>
    <w:next w:val="73"/>
    <w:qFormat/>
    <w:uiPriority w:val="0"/>
    <w:pPr>
      <w:spacing w:beforeLines="50" w:afterLines="50"/>
      <w:ind w:firstLine="0" w:firstLineChars="0"/>
    </w:pPr>
    <w:rPr>
      <w:rFonts w:ascii="黑体" w:eastAsia="黑体"/>
    </w:rPr>
  </w:style>
  <w:style w:type="paragraph" w:customStyle="1" w:styleId="302">
    <w:name w:val="标准文件_引言三级条标题"/>
    <w:basedOn w:val="73"/>
    <w:next w:val="73"/>
    <w:qFormat/>
    <w:uiPriority w:val="0"/>
    <w:pPr>
      <w:spacing w:beforeLines="50" w:afterLines="50"/>
      <w:ind w:firstLine="0" w:firstLineChars="0"/>
    </w:pPr>
    <w:rPr>
      <w:rFonts w:ascii="黑体" w:eastAsia="黑体"/>
    </w:rPr>
  </w:style>
  <w:style w:type="paragraph" w:customStyle="1" w:styleId="303">
    <w:name w:val="标准文件_引言四级条标题"/>
    <w:basedOn w:val="73"/>
    <w:next w:val="73"/>
    <w:qFormat/>
    <w:uiPriority w:val="0"/>
    <w:pPr>
      <w:spacing w:beforeLines="50" w:afterLines="50"/>
      <w:ind w:firstLine="0" w:firstLineChars="0"/>
    </w:pPr>
    <w:rPr>
      <w:rFonts w:ascii="黑体" w:eastAsia="黑体"/>
    </w:rPr>
  </w:style>
  <w:style w:type="paragraph" w:customStyle="1" w:styleId="304">
    <w:name w:val="标准文件_引言五级条标题"/>
    <w:basedOn w:val="73"/>
    <w:next w:val="73"/>
    <w:qFormat/>
    <w:uiPriority w:val="0"/>
    <w:pPr>
      <w:spacing w:beforeLines="50" w:afterLines="50"/>
      <w:ind w:firstLine="0" w:firstLineChars="0"/>
    </w:pPr>
    <w:rPr>
      <w:rFonts w:ascii="黑体" w:eastAsia="黑体"/>
    </w:rPr>
  </w:style>
  <w:style w:type="paragraph" w:customStyle="1" w:styleId="305">
    <w:name w:val="标准文件_注后"/>
    <w:basedOn w:val="73"/>
    <w:qFormat/>
    <w:uiPriority w:val="0"/>
    <w:pPr>
      <w:ind w:left="811" w:firstLine="0" w:firstLineChars="0"/>
    </w:pPr>
    <w:rPr>
      <w:sz w:val="18"/>
    </w:rPr>
  </w:style>
  <w:style w:type="paragraph" w:customStyle="1" w:styleId="306">
    <w:name w:val="标准文件_注X后"/>
    <w:basedOn w:val="73"/>
    <w:qFormat/>
    <w:uiPriority w:val="0"/>
    <w:pPr>
      <w:ind w:left="811" w:firstLine="0" w:firstLineChars="0"/>
    </w:pPr>
    <w:rPr>
      <w:sz w:val="18"/>
    </w:rPr>
  </w:style>
  <w:style w:type="paragraph" w:customStyle="1" w:styleId="307">
    <w:name w:val="标准文件_示例后"/>
    <w:basedOn w:val="73"/>
    <w:qFormat/>
    <w:uiPriority w:val="0"/>
    <w:pPr>
      <w:ind w:left="964" w:firstLine="0" w:firstLineChars="0"/>
    </w:pPr>
    <w:rPr>
      <w:sz w:val="18"/>
    </w:rPr>
  </w:style>
  <w:style w:type="paragraph" w:customStyle="1" w:styleId="308">
    <w:name w:val="标准文件_示例X后"/>
    <w:basedOn w:val="73"/>
    <w:link w:val="309"/>
    <w:qFormat/>
    <w:uiPriority w:val="0"/>
    <w:pPr>
      <w:ind w:left="1049" w:firstLine="0" w:firstLineChars="0"/>
    </w:pPr>
    <w:rPr>
      <w:sz w:val="18"/>
    </w:rPr>
  </w:style>
  <w:style w:type="character" w:customStyle="1" w:styleId="309">
    <w:name w:val="标准文件_示例X后 字符"/>
    <w:link w:val="308"/>
    <w:qFormat/>
    <w:uiPriority w:val="0"/>
    <w:rPr>
      <w:rFonts w:ascii="宋体"/>
      <w:sz w:val="18"/>
    </w:rPr>
  </w:style>
  <w:style w:type="paragraph" w:customStyle="1" w:styleId="310">
    <w:name w:val="标准文件_索引项"/>
    <w:basedOn w:val="73"/>
    <w:next w:val="73"/>
    <w:qFormat/>
    <w:uiPriority w:val="0"/>
    <w:pPr>
      <w:tabs>
        <w:tab w:val="right" w:leader="dot" w:pos="9356"/>
      </w:tabs>
      <w:ind w:left="210" w:hanging="210" w:firstLineChars="0"/>
      <w:jc w:val="left"/>
    </w:pPr>
  </w:style>
  <w:style w:type="paragraph" w:customStyle="1" w:styleId="311">
    <w:name w:val="标准文件_附录一级无标题"/>
    <w:basedOn w:val="184"/>
    <w:qFormat/>
    <w:uiPriority w:val="0"/>
    <w:pPr>
      <w:spacing w:beforeLines="0" w:afterLines="0" w:line="276" w:lineRule="auto"/>
      <w:outlineLvl w:val="9"/>
    </w:pPr>
    <w:rPr>
      <w:rFonts w:ascii="宋体" w:eastAsia="宋体"/>
    </w:rPr>
  </w:style>
  <w:style w:type="paragraph" w:customStyle="1" w:styleId="312">
    <w:name w:val="标准文件_附录二级无标题"/>
    <w:basedOn w:val="185"/>
    <w:qFormat/>
    <w:uiPriority w:val="0"/>
    <w:pPr>
      <w:spacing w:beforeLines="0" w:afterLines="0" w:line="276" w:lineRule="auto"/>
      <w:outlineLvl w:val="9"/>
    </w:pPr>
    <w:rPr>
      <w:rFonts w:ascii="宋体" w:eastAsia="宋体"/>
    </w:rPr>
  </w:style>
  <w:style w:type="paragraph" w:customStyle="1" w:styleId="313">
    <w:name w:val="标准文件_附录三级无标题"/>
    <w:basedOn w:val="186"/>
    <w:qFormat/>
    <w:uiPriority w:val="0"/>
    <w:pPr>
      <w:spacing w:beforeLines="0" w:afterLines="0" w:line="276" w:lineRule="auto"/>
      <w:outlineLvl w:val="9"/>
    </w:pPr>
    <w:rPr>
      <w:rFonts w:ascii="宋体" w:eastAsia="宋体"/>
    </w:rPr>
  </w:style>
  <w:style w:type="paragraph" w:customStyle="1" w:styleId="314">
    <w:name w:val="标准文件_附录四级无标题"/>
    <w:basedOn w:val="187"/>
    <w:qFormat/>
    <w:uiPriority w:val="0"/>
    <w:pPr>
      <w:spacing w:beforeLines="0" w:afterLines="0" w:line="276" w:lineRule="auto"/>
      <w:outlineLvl w:val="9"/>
    </w:pPr>
    <w:rPr>
      <w:rFonts w:ascii="宋体" w:eastAsia="宋体"/>
    </w:rPr>
  </w:style>
  <w:style w:type="paragraph" w:customStyle="1" w:styleId="315">
    <w:name w:val="标准文件_附录五级无标题"/>
    <w:basedOn w:val="188"/>
    <w:qFormat/>
    <w:uiPriority w:val="0"/>
    <w:pPr>
      <w:spacing w:beforeLines="0" w:afterLines="0" w:line="276" w:lineRule="auto"/>
      <w:outlineLvl w:val="9"/>
    </w:pPr>
    <w:rPr>
      <w:rFonts w:ascii="宋体" w:eastAsia="宋体"/>
    </w:rPr>
  </w:style>
  <w:style w:type="paragraph" w:customStyle="1" w:styleId="316">
    <w:name w:val="标准文件_引言一级无标题"/>
    <w:basedOn w:val="300"/>
    <w:next w:val="73"/>
    <w:qFormat/>
    <w:uiPriority w:val="0"/>
    <w:pPr>
      <w:spacing w:beforeLines="0" w:afterLines="0" w:line="276" w:lineRule="auto"/>
    </w:pPr>
    <w:rPr>
      <w:rFonts w:ascii="宋体" w:eastAsia="宋体"/>
    </w:rPr>
  </w:style>
  <w:style w:type="paragraph" w:customStyle="1" w:styleId="317">
    <w:name w:val="标准文件_引言二级无标题"/>
    <w:basedOn w:val="301"/>
    <w:next w:val="73"/>
    <w:qFormat/>
    <w:uiPriority w:val="0"/>
    <w:pPr>
      <w:spacing w:beforeLines="0" w:afterLines="0" w:line="276" w:lineRule="auto"/>
    </w:pPr>
    <w:rPr>
      <w:rFonts w:ascii="宋体" w:eastAsia="宋体"/>
    </w:rPr>
  </w:style>
  <w:style w:type="paragraph" w:customStyle="1" w:styleId="318">
    <w:name w:val="标准文件_引言三级无标题"/>
    <w:basedOn w:val="302"/>
    <w:next w:val="73"/>
    <w:qFormat/>
    <w:uiPriority w:val="0"/>
    <w:pPr>
      <w:spacing w:beforeLines="0" w:afterLines="0" w:line="276" w:lineRule="auto"/>
    </w:pPr>
    <w:rPr>
      <w:rFonts w:ascii="宋体" w:eastAsia="宋体"/>
    </w:rPr>
  </w:style>
  <w:style w:type="paragraph" w:customStyle="1" w:styleId="319">
    <w:name w:val="标准文件_引言四级无标题"/>
    <w:basedOn w:val="303"/>
    <w:next w:val="73"/>
    <w:qFormat/>
    <w:uiPriority w:val="0"/>
    <w:pPr>
      <w:spacing w:beforeLines="0" w:afterLines="0" w:line="276" w:lineRule="auto"/>
    </w:pPr>
    <w:rPr>
      <w:rFonts w:ascii="宋体" w:eastAsia="宋体"/>
    </w:rPr>
  </w:style>
  <w:style w:type="paragraph" w:customStyle="1" w:styleId="320">
    <w:name w:val="标准文件_引言五级无标题"/>
    <w:basedOn w:val="304"/>
    <w:next w:val="73"/>
    <w:qFormat/>
    <w:uiPriority w:val="0"/>
    <w:pPr>
      <w:spacing w:beforeLines="0" w:afterLines="0" w:line="276" w:lineRule="auto"/>
    </w:pPr>
    <w:rPr>
      <w:rFonts w:ascii="宋体" w:eastAsia="宋体"/>
    </w:rPr>
  </w:style>
  <w:style w:type="paragraph" w:customStyle="1" w:styleId="321">
    <w:name w:val="标准文件_索引标题"/>
    <w:basedOn w:val="201"/>
    <w:next w:val="73"/>
    <w:qFormat/>
    <w:uiPriority w:val="0"/>
    <w:rPr>
      <w:rFonts w:hAnsi="黑体"/>
    </w:rPr>
  </w:style>
  <w:style w:type="paragraph" w:customStyle="1" w:styleId="322">
    <w:name w:val="标准文件_脚注内容"/>
    <w:basedOn w:val="73"/>
    <w:qFormat/>
    <w:uiPriority w:val="0"/>
    <w:pPr>
      <w:ind w:left="400" w:leftChars="200" w:hanging="200" w:hangingChars="200"/>
    </w:pPr>
    <w:rPr>
      <w:sz w:val="15"/>
    </w:rPr>
  </w:style>
  <w:style w:type="paragraph" w:customStyle="1" w:styleId="323">
    <w:name w:val="标准文件_术语条二"/>
    <w:basedOn w:val="117"/>
    <w:next w:val="73"/>
    <w:qFormat/>
    <w:uiPriority w:val="0"/>
  </w:style>
  <w:style w:type="paragraph" w:customStyle="1" w:styleId="324">
    <w:name w:val="标准文件_术语条三"/>
    <w:basedOn w:val="271"/>
    <w:next w:val="73"/>
    <w:qFormat/>
    <w:uiPriority w:val="0"/>
  </w:style>
  <w:style w:type="paragraph" w:customStyle="1" w:styleId="325">
    <w:name w:val="标准文件_术语条四"/>
    <w:basedOn w:val="273"/>
    <w:next w:val="73"/>
    <w:qFormat/>
    <w:uiPriority w:val="0"/>
  </w:style>
  <w:style w:type="paragraph" w:customStyle="1" w:styleId="326">
    <w:name w:val="标准文件_术语条五"/>
    <w:basedOn w:val="270"/>
    <w:next w:val="73"/>
    <w:qFormat/>
    <w:uiPriority w:val="0"/>
  </w:style>
  <w:style w:type="paragraph" w:customStyle="1" w:styleId="32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8">
    <w:name w:val="0段落"/>
    <w:basedOn w:val="13"/>
    <w:link w:val="329"/>
    <w:qFormat/>
    <w:uiPriority w:val="0"/>
    <w:pPr>
      <w:adjustRightInd/>
      <w:spacing w:line="288" w:lineRule="auto"/>
      <w:ind w:firstLine="0"/>
    </w:pPr>
    <w:rPr>
      <w:rFonts w:ascii="Times New Roman" w:hAnsi="Times New Roman"/>
      <w:kern w:val="0"/>
      <w:sz w:val="20"/>
      <w:lang w:val="zh-CN"/>
    </w:rPr>
  </w:style>
  <w:style w:type="character" w:customStyle="1" w:styleId="329">
    <w:name w:val="0段落 Char"/>
    <w:link w:val="328"/>
    <w:qFormat/>
    <w:uiPriority w:val="0"/>
    <w:rPr>
      <w:szCs w:val="21"/>
      <w:lang w:val="zh-CN"/>
    </w:rPr>
  </w:style>
  <w:style w:type="paragraph" w:customStyle="1" w:styleId="330">
    <w:name w:val="列出段落1"/>
    <w:basedOn w:val="1"/>
    <w:qFormat/>
    <w:uiPriority w:val="34"/>
    <w:pPr>
      <w:ind w:firstLine="420" w:firstLineChars="200"/>
    </w:pPr>
    <w:rPr>
      <w:kern w:val="0"/>
      <w:sz w:val="20"/>
      <w:szCs w:val="20"/>
    </w:rPr>
  </w:style>
  <w:style w:type="paragraph" w:customStyle="1" w:styleId="331">
    <w:name w:val="列出段落2"/>
    <w:basedOn w:val="1"/>
    <w:qFormat/>
    <w:uiPriority w:val="34"/>
    <w:pPr>
      <w:ind w:firstLine="420" w:firstLineChars="200"/>
    </w:pPr>
    <w:rPr>
      <w:szCs w:val="20"/>
    </w:rPr>
  </w:style>
  <w:style w:type="paragraph" w:styleId="332">
    <w:name w:val="List Paragraph"/>
    <w:basedOn w:val="1"/>
    <w:qFormat/>
    <w:uiPriority w:val="34"/>
    <w:pPr>
      <w:ind w:firstLine="420" w:firstLineChars="200"/>
    </w:pPr>
    <w:rPr>
      <w:szCs w:val="20"/>
    </w:rPr>
  </w:style>
  <w:style w:type="paragraph" w:customStyle="1" w:styleId="333">
    <w:name w:val="修订11"/>
    <w:semiHidden/>
    <w:qFormat/>
    <w:uiPriority w:val="99"/>
    <w:rPr>
      <w:rFonts w:ascii="Calibri" w:hAnsi="Calibri" w:eastAsia="宋体" w:cs="Times New Roman"/>
      <w:kern w:val="2"/>
      <w:sz w:val="21"/>
      <w:szCs w:val="21"/>
      <w:lang w:val="en-US" w:eastAsia="zh-CN" w:bidi="ar-SA"/>
    </w:rPr>
  </w:style>
  <w:style w:type="character" w:customStyle="1" w:styleId="334">
    <w:name w:val="日期 Char"/>
    <w:basedOn w:val="45"/>
    <w:link w:val="24"/>
    <w:qFormat/>
    <w:uiPriority w:val="0"/>
    <w:rPr>
      <w:kern w:val="2"/>
      <w:sz w:val="21"/>
      <w:szCs w:val="24"/>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microsoft.com/office/2006/relationships/keyMapCustomizations" Target="customizations.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0ED944-25B1-4643-BF54-E02CFB6DC20A}">
  <ds:schemaRefs/>
</ds:datastoreItem>
</file>

<file path=docProps/app.xml><?xml version="1.0" encoding="utf-8"?>
<Properties xmlns="http://schemas.openxmlformats.org/officeDocument/2006/extended-properties" xmlns:vt="http://schemas.openxmlformats.org/officeDocument/2006/docPropsVTypes">
  <Template>Normal</Template>
  <Pages>27</Pages>
  <Words>7563</Words>
  <Characters>8932</Characters>
  <Lines>71</Lines>
  <Paragraphs>20</Paragraphs>
  <TotalTime>3</TotalTime>
  <ScaleCrop>false</ScaleCrop>
  <LinksUpToDate>false</LinksUpToDate>
  <CharactersWithSpaces>9355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2023-08-30T09:32:00Z</dcterms:created>
  <cp:lastPrinted>2023-07-02T13:52:00Z</cp:lastPrinted>
  <dcterms:modified xsi:type="dcterms:W3CDTF">2024-07-05T03:14:34Z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2B654C96B89840449DE990C93E281563</vt:lpwstr>
  </property>
  <property fmtid="{D5CDD505-2E9C-101B-9397-08002B2CF9AE}" pid="4" name="MTWinEqns">
    <vt:bool>true</vt:bool>
  </property>
  <property fmtid="{D5CDD505-2E9C-101B-9397-08002B2CF9AE}" pid="5" name="AMWinEqns">
    <vt:bool>true</vt:bool>
  </property>
  <property fmtid="{D5CDD505-2E9C-101B-9397-08002B2CF9AE}" pid="6" name="AMEquationNumber2">
    <vt:lpwstr>(#S1.#E1)</vt:lpwstr>
  </property>
</Properties>
</file>